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1A05238" w14:textId="77777777" w:rsidR="000F5C6F" w:rsidRDefault="000F5C6F" w:rsidP="00573411">
      <w:pPr>
        <w:spacing w:line="240" w:lineRule="auto"/>
        <w:rPr>
          <w:rFonts w:ascii="Times New Roman" w:eastAsia="Cambria" w:hAnsi="Times New Roman"/>
          <w:noProof/>
        </w:rPr>
      </w:pPr>
      <w:bookmarkStart w:id="0" w:name="_5map454pzh8q" w:colFirst="0" w:colLast="0"/>
      <w:bookmarkEnd w:id="0"/>
      <w:r w:rsidRPr="00DB7B57">
        <w:rPr>
          <w:rFonts w:ascii="Times New Roman" w:eastAsia="Cambria" w:hAnsi="Times New Roman"/>
          <w:b/>
          <w:bCs/>
          <w:noProof/>
        </w:rPr>
        <w:t>Edito</w:t>
      </w:r>
      <w:r w:rsidRPr="009367B8">
        <w:rPr>
          <w:rFonts w:ascii="Times New Roman" w:eastAsia="Cambria" w:hAnsi="Times New Roman"/>
          <w:b/>
          <w:bCs/>
          <w:noProof/>
        </w:rPr>
        <w:t>r:</w:t>
      </w:r>
      <w:r w:rsidRPr="00DB7B57">
        <w:rPr>
          <w:rFonts w:ascii="Times New Roman" w:eastAsia="Cambria" w:hAnsi="Times New Roman"/>
          <w:noProof/>
        </w:rPr>
        <w:t xml:space="preserve"> Associate Professor Wendy Fox-Turnbull, University of Waikato, New Zealand</w:t>
      </w:r>
    </w:p>
    <w:p w14:paraId="29D1825B" w14:textId="77777777" w:rsidR="00B91A72" w:rsidRDefault="00B91A72" w:rsidP="00573411">
      <w:pPr>
        <w:spacing w:before="360" w:after="480" w:line="240" w:lineRule="auto"/>
        <w:ind w:left="851" w:hanging="851"/>
        <w:contextualSpacing/>
        <w:rPr>
          <w:rFonts w:ascii="Times New Roman" w:hAnsi="Times New Roman"/>
          <w:b/>
          <w:bCs/>
          <w:noProof/>
          <w:lang w:val="fr-FR"/>
        </w:rPr>
      </w:pPr>
    </w:p>
    <w:p w14:paraId="78503CED" w14:textId="744F85EB" w:rsidR="000F5C6F" w:rsidRPr="00DB7B57" w:rsidRDefault="000F5C6F" w:rsidP="00573411">
      <w:pPr>
        <w:spacing w:before="360" w:after="480" w:line="240" w:lineRule="auto"/>
        <w:ind w:left="851" w:hanging="851"/>
        <w:contextualSpacing/>
        <w:rPr>
          <w:rFonts w:ascii="Times New Roman" w:hAnsi="Times New Roman"/>
          <w:b/>
          <w:bCs/>
          <w:noProof/>
          <w:lang w:val="fr-FR"/>
        </w:rPr>
      </w:pPr>
      <w:r w:rsidRPr="00DB7B57">
        <w:rPr>
          <w:rFonts w:ascii="Times New Roman" w:hAnsi="Times New Roman"/>
          <w:b/>
          <w:bCs/>
          <w:noProof/>
          <w:lang w:val="fr-FR"/>
        </w:rPr>
        <w:t>Editorial board:</w:t>
      </w:r>
    </w:p>
    <w:p w14:paraId="393E5339" w14:textId="77777777" w:rsidR="000F5C6F" w:rsidRPr="00DB7B57" w:rsidRDefault="000F5C6F" w:rsidP="00573411">
      <w:pPr>
        <w:spacing w:after="360" w:line="240" w:lineRule="auto"/>
        <w:ind w:left="851" w:hanging="851"/>
        <w:contextualSpacing/>
        <w:rPr>
          <w:rFonts w:ascii="Times New Roman" w:hAnsi="Times New Roman"/>
          <w:b/>
          <w:bCs/>
          <w:noProof/>
          <w:sz w:val="16"/>
          <w:szCs w:val="16"/>
          <w:lang w:val="fr-FR"/>
        </w:rPr>
      </w:pPr>
    </w:p>
    <w:p w14:paraId="270B869A" w14:textId="77777777" w:rsidR="000F5C6F" w:rsidRPr="00DB7B57" w:rsidRDefault="000F5C6F" w:rsidP="00573411">
      <w:pPr>
        <w:spacing w:before="360" w:after="60" w:line="240" w:lineRule="auto"/>
        <w:contextualSpacing/>
        <w:rPr>
          <w:rFonts w:ascii="Times New Roman" w:eastAsia="Cambria" w:hAnsi="Times New Roman"/>
        </w:rPr>
      </w:pPr>
      <w:r w:rsidRPr="00DB7B57">
        <w:rPr>
          <w:rFonts w:ascii="Times New Roman" w:eastAsia="Cambria" w:hAnsi="Times New Roman"/>
        </w:rPr>
        <w:t>Prof Stephanie Atkinson, Sunderland University, England, United Kingdom</w:t>
      </w:r>
    </w:p>
    <w:p w14:paraId="00379412" w14:textId="77777777" w:rsidR="000F5C6F" w:rsidRPr="00DB7B57"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Prof Marc de Vries, Delft University of Technology, Netherlands</w:t>
      </w:r>
    </w:p>
    <w:p w14:paraId="6F382D02" w14:textId="77777777" w:rsidR="000F5C6F" w:rsidRPr="00DB7B57"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Prof Mishack Gumbo, University of South Africa, South Africa</w:t>
      </w:r>
    </w:p>
    <w:p w14:paraId="5923A7F4" w14:textId="77777777" w:rsidR="000F5C6F" w:rsidRPr="00DB7B57"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Prof Jonas Hallström, Linkoping University, Sweden</w:t>
      </w:r>
    </w:p>
    <w:p w14:paraId="47EF1807" w14:textId="77777777" w:rsidR="000F5C6F" w:rsidRPr="00DB7B57"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Assoc Prof Kurt Seemann, Swinburne University of Technology Australia, Australia</w:t>
      </w:r>
    </w:p>
    <w:p w14:paraId="3A799CF6" w14:textId="77777777" w:rsidR="000F5C6F" w:rsidRPr="00DB7B57"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Prof David Spendlove, University of Manchester, England, United Kingdom</w:t>
      </w:r>
    </w:p>
    <w:p w14:paraId="668749BB" w14:textId="77777777" w:rsidR="000F5C6F" w:rsidRPr="00DB7B57"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Prof Scott Warner, Millersville University, United States</w:t>
      </w:r>
    </w:p>
    <w:p w14:paraId="6F2465E5" w14:textId="77777777" w:rsidR="000F5C6F" w:rsidRDefault="000F5C6F" w:rsidP="00573411">
      <w:pPr>
        <w:spacing w:after="60" w:line="240" w:lineRule="auto"/>
        <w:contextualSpacing/>
        <w:rPr>
          <w:rFonts w:ascii="Times New Roman" w:eastAsia="Cambria" w:hAnsi="Times New Roman"/>
        </w:rPr>
      </w:pPr>
      <w:r w:rsidRPr="00DB7B57">
        <w:rPr>
          <w:rFonts w:ascii="Times New Roman" w:eastAsia="Cambria" w:hAnsi="Times New Roman"/>
        </w:rPr>
        <w:t xml:space="preserve">Assoc Prof P John Williams, </w:t>
      </w:r>
      <w:r>
        <w:rPr>
          <w:rFonts w:ascii="Times New Roman" w:eastAsia="Cambria" w:hAnsi="Times New Roman"/>
        </w:rPr>
        <w:t>Curtin University, Western Australia, Australia</w:t>
      </w:r>
    </w:p>
    <w:p w14:paraId="6265EFA9" w14:textId="77777777" w:rsidR="000F5C6F" w:rsidRDefault="000F5C6F" w:rsidP="00573411">
      <w:pPr>
        <w:spacing w:line="240" w:lineRule="auto"/>
        <w:rPr>
          <w:rFonts w:ascii="Times New Roman" w:eastAsia="Cambria" w:hAnsi="Times New Roman"/>
          <w:szCs w:val="20"/>
        </w:rPr>
      </w:pPr>
      <w:r w:rsidRPr="00DB7B57">
        <w:rPr>
          <w:rFonts w:ascii="Times New Roman" w:eastAsia="Cambria" w:hAnsi="Times New Roman"/>
          <w:iCs/>
          <w:noProof/>
        </w:rPr>
        <w:t>The Australasian Journal of Technology Education</w:t>
      </w:r>
      <w:r w:rsidRPr="00DB7B57">
        <w:rPr>
          <w:rFonts w:ascii="Times New Roman" w:eastAsia="Cambria" w:hAnsi="Times New Roman"/>
          <w:noProof/>
        </w:rPr>
        <w:t xml:space="preserve"> is a peer refereed journal </w:t>
      </w:r>
      <w:r w:rsidRPr="00DB7B57">
        <w:rPr>
          <w:rFonts w:ascii="Times New Roman" w:eastAsia="Cambria" w:hAnsi="Times New Roman"/>
        </w:rPr>
        <w:t>and provides a forum for scholarly discussion on topics relating to technology education. Submissions are welcomed relating to the primary, secondary and higher education sectors,</w:t>
      </w:r>
      <w:r>
        <w:rPr>
          <w:rFonts w:ascii="Times New Roman" w:eastAsia="Cambria" w:hAnsi="Times New Roman"/>
        </w:rPr>
        <w:t xml:space="preserve"> </w:t>
      </w:r>
      <w:r w:rsidRPr="00DB7B57">
        <w:rPr>
          <w:rFonts w:ascii="Times New Roman" w:eastAsia="Cambria" w:hAnsi="Times New Roman"/>
        </w:rPr>
        <w:t xml:space="preserve">initial teacher education and continuous professional development, and general research about technology education. Contributions to the ongoing research debate are encouraged from any country. The expectation is that the Journal will </w:t>
      </w:r>
      <w:r w:rsidRPr="00DB7B57">
        <w:rPr>
          <w:rFonts w:ascii="Times New Roman" w:eastAsia="Cambria" w:hAnsi="Times New Roman"/>
          <w:szCs w:val="20"/>
        </w:rPr>
        <w:t>publish articles at the leading edge of development of the subject area.</w:t>
      </w:r>
    </w:p>
    <w:p w14:paraId="4A05A1CE" w14:textId="77777777" w:rsidR="00573411" w:rsidRDefault="00573411" w:rsidP="00573411">
      <w:pPr>
        <w:spacing w:before="240" w:line="240" w:lineRule="auto"/>
        <w:contextualSpacing/>
        <w:rPr>
          <w:rFonts w:ascii="Times New Roman" w:eastAsia="Cambria" w:hAnsi="Times New Roman"/>
        </w:rPr>
      </w:pPr>
    </w:p>
    <w:p w14:paraId="7BA80EC4" w14:textId="620DE48B" w:rsidR="000F5C6F" w:rsidRPr="005648A1" w:rsidRDefault="000F5C6F" w:rsidP="00573411">
      <w:pPr>
        <w:spacing w:before="240" w:line="240" w:lineRule="auto"/>
        <w:contextualSpacing/>
        <w:rPr>
          <w:rFonts w:ascii="Times New Roman" w:eastAsia="Cambria" w:hAnsi="Times New Roman"/>
        </w:rPr>
      </w:pPr>
      <w:r w:rsidRPr="005648A1">
        <w:rPr>
          <w:rFonts w:ascii="Times New Roman" w:eastAsia="Cambria" w:hAnsi="Times New Roman"/>
        </w:rPr>
        <w:t>The Journal seeks to publish</w:t>
      </w:r>
    </w:p>
    <w:p w14:paraId="794B7660" w14:textId="77777777" w:rsidR="000F5C6F" w:rsidRPr="005648A1" w:rsidRDefault="000F5C6F" w:rsidP="00573411">
      <w:pPr>
        <w:numPr>
          <w:ilvl w:val="0"/>
          <w:numId w:val="19"/>
        </w:numPr>
        <w:spacing w:before="120" w:after="200" w:line="240" w:lineRule="auto"/>
        <w:ind w:left="714" w:hanging="357"/>
        <w:contextualSpacing/>
        <w:jc w:val="both"/>
        <w:rPr>
          <w:rFonts w:ascii="Times New Roman" w:eastAsia="Times New Roman" w:hAnsi="Times New Roman"/>
          <w:noProof/>
        </w:rPr>
      </w:pPr>
      <w:r w:rsidRPr="005648A1">
        <w:rPr>
          <w:rFonts w:ascii="Times New Roman" w:eastAsia="Times New Roman" w:hAnsi="Times New Roman"/>
          <w:noProof/>
        </w:rPr>
        <w:t>reports of research,</w:t>
      </w:r>
    </w:p>
    <w:p w14:paraId="5F0946C5" w14:textId="77777777" w:rsidR="000F5C6F" w:rsidRPr="005648A1" w:rsidRDefault="000F5C6F" w:rsidP="00573411">
      <w:pPr>
        <w:numPr>
          <w:ilvl w:val="0"/>
          <w:numId w:val="19"/>
        </w:numPr>
        <w:spacing w:before="120" w:after="200" w:line="240" w:lineRule="auto"/>
        <w:ind w:left="714" w:hanging="357"/>
        <w:contextualSpacing/>
        <w:jc w:val="both"/>
        <w:rPr>
          <w:rFonts w:ascii="Times New Roman" w:eastAsia="Times New Roman" w:hAnsi="Times New Roman"/>
          <w:noProof/>
        </w:rPr>
      </w:pPr>
      <w:r w:rsidRPr="005648A1">
        <w:rPr>
          <w:rFonts w:ascii="Times New Roman" w:eastAsia="Times New Roman" w:hAnsi="Times New Roman"/>
          <w:noProof/>
        </w:rPr>
        <w:t>articles based on action research by practitioners,</w:t>
      </w:r>
    </w:p>
    <w:p w14:paraId="01ECE430" w14:textId="77777777" w:rsidR="000F5C6F" w:rsidRPr="005648A1" w:rsidRDefault="000F5C6F" w:rsidP="00573411">
      <w:pPr>
        <w:numPr>
          <w:ilvl w:val="0"/>
          <w:numId w:val="19"/>
        </w:numPr>
        <w:spacing w:before="120" w:after="200" w:line="240" w:lineRule="auto"/>
        <w:ind w:left="714" w:hanging="357"/>
        <w:contextualSpacing/>
        <w:jc w:val="both"/>
        <w:rPr>
          <w:rFonts w:ascii="Times New Roman" w:eastAsia="Times New Roman" w:hAnsi="Times New Roman"/>
          <w:noProof/>
        </w:rPr>
      </w:pPr>
      <w:r w:rsidRPr="005648A1">
        <w:rPr>
          <w:rFonts w:ascii="Times New Roman" w:eastAsia="Times New Roman" w:hAnsi="Times New Roman"/>
          <w:noProof/>
        </w:rPr>
        <w:t>literature reviews, and</w:t>
      </w:r>
    </w:p>
    <w:p w14:paraId="77FAB923" w14:textId="77777777" w:rsidR="000F5C6F" w:rsidRDefault="000F5C6F" w:rsidP="00573411">
      <w:pPr>
        <w:numPr>
          <w:ilvl w:val="0"/>
          <w:numId w:val="19"/>
        </w:numPr>
        <w:spacing w:before="120" w:after="240" w:line="240" w:lineRule="auto"/>
        <w:contextualSpacing/>
        <w:jc w:val="both"/>
        <w:rPr>
          <w:rFonts w:ascii="Times New Roman" w:eastAsia="Times New Roman" w:hAnsi="Times New Roman"/>
          <w:noProof/>
        </w:rPr>
      </w:pPr>
      <w:r w:rsidRPr="005648A1">
        <w:rPr>
          <w:rFonts w:ascii="Times New Roman" w:eastAsia="Times New Roman" w:hAnsi="Times New Roman"/>
          <w:noProof/>
        </w:rPr>
        <w:t>book reviews.</w:t>
      </w:r>
    </w:p>
    <w:p w14:paraId="689D5A4B" w14:textId="77777777" w:rsidR="000F5C6F" w:rsidRPr="005648A1" w:rsidRDefault="000F5C6F" w:rsidP="00573411">
      <w:pPr>
        <w:spacing w:after="240" w:line="240" w:lineRule="auto"/>
        <w:ind w:left="720"/>
        <w:contextualSpacing/>
        <w:rPr>
          <w:rFonts w:ascii="Times New Roman" w:eastAsia="Times New Roman" w:hAnsi="Times New Roman"/>
          <w:noProof/>
        </w:rPr>
      </w:pPr>
    </w:p>
    <w:p w14:paraId="779DD346" w14:textId="77777777" w:rsidR="000F5C6F" w:rsidRPr="005648A1" w:rsidRDefault="000F5C6F" w:rsidP="00573411">
      <w:pPr>
        <w:spacing w:before="240" w:after="240" w:line="240" w:lineRule="auto"/>
        <w:rPr>
          <w:rFonts w:ascii="Times New Roman" w:eastAsia="Cambria" w:hAnsi="Times New Roman"/>
          <w:noProof/>
          <w:szCs w:val="20"/>
        </w:rPr>
      </w:pPr>
      <w:r w:rsidRPr="00DB7B57">
        <w:rPr>
          <w:rFonts w:ascii="Times New Roman" w:eastAsia="Cambria" w:hAnsi="Times New Roman"/>
          <w:b/>
          <w:bCs/>
          <w:noProof/>
          <w:szCs w:val="20"/>
        </w:rPr>
        <w:t>Publisher</w:t>
      </w:r>
      <w:r w:rsidRPr="00DB7B57">
        <w:rPr>
          <w:rFonts w:ascii="Times New Roman" w:eastAsia="Cambria" w:hAnsi="Times New Roman"/>
          <w:noProof/>
          <w:szCs w:val="20"/>
        </w:rPr>
        <w:t xml:space="preserve">: The Technology, Environmental, Mathematics and Science (TEMS) Education Research Centre, which is part of the Division of Education, The University of Waikato, publishes the journal. </w:t>
      </w:r>
    </w:p>
    <w:p w14:paraId="7CBF1113" w14:textId="77777777" w:rsidR="000F5C6F" w:rsidRPr="00DB7B57" w:rsidRDefault="000F5C6F" w:rsidP="00573411">
      <w:pPr>
        <w:spacing w:after="120" w:line="240" w:lineRule="auto"/>
        <w:rPr>
          <w:rFonts w:ascii="Times New Roman" w:eastAsia="Times New Roman" w:hAnsi="Times New Roman"/>
        </w:rPr>
      </w:pPr>
      <w:r w:rsidRPr="00DB7B57">
        <w:rPr>
          <w:rFonts w:ascii="Times New Roman" w:eastAsia="Cambria" w:hAnsi="Times New Roman"/>
          <w:b/>
          <w:bCs/>
          <w:noProof/>
          <w:szCs w:val="20"/>
        </w:rPr>
        <w:t>Contact details</w:t>
      </w:r>
      <w:r w:rsidRPr="00DB7B57">
        <w:rPr>
          <w:rFonts w:ascii="Times New Roman" w:eastAsia="Cambria" w:hAnsi="Times New Roman"/>
          <w:noProof/>
          <w:szCs w:val="20"/>
        </w:rPr>
        <w:t xml:space="preserve">: The Editor, AJTE, </w:t>
      </w:r>
      <w:hyperlink r:id="rId10" w:tgtFrame="_blank" w:history="1">
        <w:r w:rsidRPr="00DB7B57">
          <w:rPr>
            <w:rFonts w:ascii="Times New Roman" w:eastAsia="Cambria" w:hAnsi="Times New Roman"/>
            <w:color w:val="1A73E8"/>
            <w:sz w:val="20"/>
            <w:szCs w:val="20"/>
            <w:u w:val="single"/>
            <w:shd w:val="clear" w:color="auto" w:fill="FFFFFF"/>
          </w:rPr>
          <w:t>wendy.fox-turnbull@waikato.ac.nz</w:t>
        </w:r>
      </w:hyperlink>
    </w:p>
    <w:p w14:paraId="48FEEE47" w14:textId="77777777" w:rsidR="000F5C6F" w:rsidRPr="00DB7B57" w:rsidRDefault="000F5C6F" w:rsidP="00573411">
      <w:pPr>
        <w:spacing w:after="120" w:line="240" w:lineRule="auto"/>
        <w:rPr>
          <w:rFonts w:ascii="Times New Roman" w:eastAsia="Cambria" w:hAnsi="Times New Roman"/>
          <w:szCs w:val="20"/>
        </w:rPr>
      </w:pPr>
      <w:r w:rsidRPr="00DB7B57">
        <w:rPr>
          <w:rFonts w:ascii="Times New Roman" w:eastAsia="Cambria" w:hAnsi="Times New Roman"/>
          <w:b/>
          <w:bCs/>
          <w:szCs w:val="20"/>
        </w:rPr>
        <w:t>Cover Design</w:t>
      </w:r>
      <w:r w:rsidRPr="00DB7B57">
        <w:rPr>
          <w:rFonts w:ascii="Times New Roman" w:eastAsia="Cambria" w:hAnsi="Times New Roman"/>
          <w:szCs w:val="20"/>
        </w:rPr>
        <w:t>: Roger Joyce</w:t>
      </w:r>
    </w:p>
    <w:p w14:paraId="7707F4AE" w14:textId="77777777" w:rsidR="000F5C6F" w:rsidRDefault="000F5C6F" w:rsidP="00573411">
      <w:pPr>
        <w:spacing w:after="120" w:line="240" w:lineRule="auto"/>
        <w:contextualSpacing/>
        <w:rPr>
          <w:rFonts w:ascii="Times New Roman" w:eastAsia="Cambria" w:hAnsi="Times New Roman"/>
          <w:szCs w:val="20"/>
        </w:rPr>
      </w:pPr>
      <w:r w:rsidRPr="00DB7B57">
        <w:rPr>
          <w:rFonts w:ascii="Times New Roman" w:eastAsia="Cambria" w:hAnsi="Times New Roman"/>
          <w:szCs w:val="20"/>
        </w:rPr>
        <w:t>This journal provides immediate open access to its content on the principle that making research freely available to the public supports a greater global exchange of knowledge.</w:t>
      </w:r>
    </w:p>
    <w:p w14:paraId="07429DB7" w14:textId="77777777" w:rsidR="000F5C6F" w:rsidRPr="00DB7B57" w:rsidRDefault="000F5C6F" w:rsidP="00573411">
      <w:pPr>
        <w:spacing w:after="120" w:line="240" w:lineRule="auto"/>
        <w:contextualSpacing/>
        <w:rPr>
          <w:rFonts w:ascii="Times New Roman" w:eastAsia="Cambria" w:hAnsi="Times New Roman"/>
          <w:szCs w:val="20"/>
        </w:rPr>
      </w:pPr>
    </w:p>
    <w:p w14:paraId="2F3E2E58" w14:textId="77777777" w:rsidR="00017AAC" w:rsidRDefault="000F5C6F" w:rsidP="00017AAC">
      <w:pPr>
        <w:spacing w:line="240" w:lineRule="auto"/>
        <w:contextualSpacing/>
        <w:rPr>
          <w:rFonts w:ascii="Times New Roman" w:eastAsia="Cambria" w:hAnsi="Times New Roman"/>
          <w:b/>
          <w:bCs/>
          <w:szCs w:val="20"/>
        </w:rPr>
        <w:sectPr w:rsidR="00017AAC" w:rsidSect="007F7BE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pgNumType w:start="1"/>
          <w:cols w:space="720"/>
          <w:titlePg/>
          <w:docGrid w:linePitch="299"/>
        </w:sectPr>
      </w:pPr>
      <w:r w:rsidRPr="00DB7B57">
        <w:rPr>
          <w:rFonts w:ascii="Times New Roman" w:eastAsia="Cambria" w:hAnsi="Times New Roman"/>
          <w:b/>
          <w:bCs/>
          <w:szCs w:val="20"/>
        </w:rPr>
        <w:t>ISSN: 2382-2007</w:t>
      </w:r>
    </w:p>
    <w:p w14:paraId="19945935" w14:textId="77777777" w:rsidR="00017AAC" w:rsidRDefault="00017AAC" w:rsidP="00017AAC">
      <w:pPr>
        <w:spacing w:line="240" w:lineRule="auto"/>
        <w:contextualSpacing/>
        <w:rPr>
          <w:rFonts w:ascii="Times New Roman" w:eastAsia="Cambria" w:hAnsi="Times New Roman"/>
          <w:b/>
          <w:bCs/>
          <w:szCs w:val="20"/>
        </w:rPr>
      </w:pPr>
    </w:p>
    <w:p w14:paraId="4AFA05EF" w14:textId="0619746E" w:rsidR="007567A6" w:rsidRPr="000F5C6F" w:rsidRDefault="003E0637" w:rsidP="00017AAC">
      <w:pPr>
        <w:spacing w:line="240" w:lineRule="auto"/>
        <w:contextualSpacing/>
        <w:rPr>
          <w:rFonts w:eastAsia="Times New Roman"/>
          <w:b/>
          <w:bCs/>
          <w:color w:val="000000"/>
          <w:sz w:val="56"/>
          <w:szCs w:val="56"/>
          <w:lang w:val="en-US" w:eastAsia="en-US"/>
        </w:rPr>
      </w:pPr>
      <w:r w:rsidRPr="000F5C6F">
        <w:rPr>
          <w:rFonts w:eastAsia="Times New Roman"/>
          <w:b/>
          <w:bCs/>
          <w:color w:val="000000"/>
          <w:sz w:val="56"/>
          <w:szCs w:val="56"/>
          <w:lang w:val="en-US" w:eastAsia="en-US"/>
        </w:rPr>
        <w:t>Improving Teacher Preparation for Technologies Education in Australia</w:t>
      </w:r>
    </w:p>
    <w:p w14:paraId="33F500C1" w14:textId="77777777" w:rsidR="003F7F7F" w:rsidRDefault="003F7F7F" w:rsidP="003F7F7F"/>
    <w:p w14:paraId="6C888B77" w14:textId="77777777" w:rsidR="003F7F7F" w:rsidRDefault="003F7F7F" w:rsidP="003F7F7F"/>
    <w:p w14:paraId="7C8BD6A7" w14:textId="70C5A972" w:rsidR="003F7F7F" w:rsidRPr="003F7F7F" w:rsidRDefault="003F7F7F" w:rsidP="000F5C6F">
      <w:r w:rsidRPr="000F5C6F">
        <w:rPr>
          <w:rFonts w:eastAsiaTheme="minorEastAsia"/>
          <w:kern w:val="2"/>
          <w:lang w:val="en-AU" w:eastAsia="en-US"/>
          <w14:ligatures w14:val="standardContextual"/>
        </w:rPr>
        <w:t>Jason Zagami</w:t>
      </w:r>
      <w:r w:rsidR="000F5C6F">
        <w:rPr>
          <w:rFonts w:eastAsiaTheme="minorEastAsia"/>
          <w:kern w:val="2"/>
          <w:lang w:val="en-AU" w:eastAsia="en-US"/>
          <w14:ligatures w14:val="standardContextual"/>
        </w:rPr>
        <w:br/>
      </w:r>
      <w:r>
        <w:t>School of Education and Professional Studies</w:t>
      </w:r>
      <w:r w:rsidR="000F5C6F">
        <w:br/>
      </w:r>
      <w:r>
        <w:t>Griffith University</w:t>
      </w:r>
      <w:r w:rsidR="000F5C6F">
        <w:br/>
        <w:t>Australia</w:t>
      </w:r>
    </w:p>
    <w:p w14:paraId="15CE0F40" w14:textId="77777777" w:rsidR="00790065" w:rsidRDefault="00790065" w:rsidP="00790065"/>
    <w:p w14:paraId="225DDAAA" w14:textId="77777777" w:rsidR="003F7F7F" w:rsidRDefault="003F7F7F" w:rsidP="00790065"/>
    <w:p w14:paraId="1FD271FE" w14:textId="77777777" w:rsidR="000F5C6F" w:rsidRDefault="000F5C6F" w:rsidP="000F5C6F">
      <w:pPr>
        <w:spacing w:after="240"/>
        <w:rPr>
          <w:rFonts w:ascii="Helvetica" w:hAnsi="Helvetica"/>
          <w:b/>
          <w:bCs/>
          <w:sz w:val="28"/>
          <w:szCs w:val="28"/>
        </w:rPr>
      </w:pPr>
      <w:r>
        <w:rPr>
          <w:rFonts w:ascii="Helvetica" w:hAnsi="Helvetica"/>
          <w:b/>
          <w:bCs/>
          <w:sz w:val="28"/>
          <w:szCs w:val="28"/>
        </w:rPr>
        <w:t>Abstract</w:t>
      </w:r>
    </w:p>
    <w:p w14:paraId="07F2C016" w14:textId="77777777" w:rsidR="008A13E0" w:rsidRPr="000F5C6F" w:rsidRDefault="008A13E0" w:rsidP="004E1507">
      <w:pPr>
        <w:spacing w:before="240" w:after="360" w:line="240" w:lineRule="auto"/>
        <w:ind w:left="851"/>
        <w:jc w:val="both"/>
        <w:rPr>
          <w:rFonts w:ascii="Times New Roman" w:hAnsi="Times New Roman" w:cs="Times New Roman"/>
          <w:i/>
          <w:iCs/>
        </w:rPr>
      </w:pPr>
      <w:bookmarkStart w:id="1" w:name="_qi1tr2mqdiju" w:colFirst="0" w:colLast="0"/>
      <w:bookmarkEnd w:id="1"/>
      <w:r w:rsidRPr="000F5C6F">
        <w:rPr>
          <w:rFonts w:ascii="Times New Roman" w:hAnsi="Times New Roman" w:cs="Times New Roman"/>
          <w:i/>
          <w:iCs/>
        </w:rPr>
        <w:t>This study critically examines how Initial Teacher Education (ITE) program</w:t>
      </w:r>
      <w:r>
        <w:rPr>
          <w:rFonts w:ascii="Times New Roman" w:hAnsi="Times New Roman" w:cs="Times New Roman"/>
          <w:i/>
          <w:iCs/>
        </w:rPr>
        <w:t>me</w:t>
      </w:r>
      <w:r w:rsidRPr="000F5C6F">
        <w:rPr>
          <w:rFonts w:ascii="Times New Roman" w:hAnsi="Times New Roman" w:cs="Times New Roman"/>
          <w:i/>
          <w:iCs/>
        </w:rPr>
        <w:t>s in Australia prepare pre-service teachers to teach technologies subjects and teaching areas. Despite the national curriculum's introduction in 2015, many ITE program</w:t>
      </w:r>
      <w:r>
        <w:rPr>
          <w:rFonts w:ascii="Times New Roman" w:hAnsi="Times New Roman" w:cs="Times New Roman"/>
          <w:i/>
          <w:iCs/>
        </w:rPr>
        <w:t>me</w:t>
      </w:r>
      <w:r w:rsidRPr="000F5C6F">
        <w:rPr>
          <w:rFonts w:ascii="Times New Roman" w:hAnsi="Times New Roman" w:cs="Times New Roman"/>
          <w:i/>
          <w:iCs/>
        </w:rPr>
        <w:t>s remain misaligned with its objectives, leaving future educators underprepared to teach essential technological skills. Employing qualitative document analysis of program</w:t>
      </w:r>
      <w:r>
        <w:rPr>
          <w:rFonts w:ascii="Times New Roman" w:hAnsi="Times New Roman" w:cs="Times New Roman"/>
          <w:i/>
          <w:iCs/>
        </w:rPr>
        <w:t>me</w:t>
      </w:r>
      <w:r w:rsidRPr="000F5C6F">
        <w:rPr>
          <w:rFonts w:ascii="Times New Roman" w:hAnsi="Times New Roman" w:cs="Times New Roman"/>
          <w:i/>
          <w:iCs/>
        </w:rPr>
        <w:t xml:space="preserve"> structures and course profiles from 41 Australian universities offering ITE program</w:t>
      </w:r>
      <w:r>
        <w:rPr>
          <w:rFonts w:ascii="Times New Roman" w:hAnsi="Times New Roman" w:cs="Times New Roman"/>
          <w:i/>
          <w:iCs/>
        </w:rPr>
        <w:t>me</w:t>
      </w:r>
      <w:r w:rsidRPr="000F5C6F">
        <w:rPr>
          <w:rFonts w:ascii="Times New Roman" w:hAnsi="Times New Roman" w:cs="Times New Roman"/>
          <w:i/>
          <w:iCs/>
        </w:rPr>
        <w:t>s, the research identifies significant inconsistencies and gaps in technologies education across states and territories. Key barriers include the application and inflexibility of program</w:t>
      </w:r>
      <w:r>
        <w:rPr>
          <w:rFonts w:ascii="Times New Roman" w:hAnsi="Times New Roman" w:cs="Times New Roman"/>
          <w:i/>
          <w:iCs/>
        </w:rPr>
        <w:t>me</w:t>
      </w:r>
      <w:r w:rsidRPr="000F5C6F">
        <w:rPr>
          <w:rFonts w:ascii="Times New Roman" w:hAnsi="Times New Roman" w:cs="Times New Roman"/>
          <w:i/>
          <w:iCs/>
        </w:rPr>
        <w:t xml:space="preserve"> accreditations, hampering the responsiveness of ITE program</w:t>
      </w:r>
      <w:r>
        <w:rPr>
          <w:rFonts w:ascii="Times New Roman" w:hAnsi="Times New Roman" w:cs="Times New Roman"/>
          <w:i/>
          <w:iCs/>
        </w:rPr>
        <w:t>me</w:t>
      </w:r>
      <w:r w:rsidRPr="000F5C6F">
        <w:rPr>
          <w:rFonts w:ascii="Times New Roman" w:hAnsi="Times New Roman" w:cs="Times New Roman"/>
          <w:i/>
          <w:iCs/>
        </w:rPr>
        <w:t>s to rapid technological advancements like artificial intelligence, computational thinking, and modern manufacturing techniques. This is compounded by a mismatch between advocacy for technologies education and its practical implementation in ITE curricula. The study underscores the broader implications of these deficiencies for the education system and Australia's future STEM workforce. Recommendations advocate for strengthening accreditation processes to allow greater consistency and adaptability, ensuring minimum curriculum coverage for technologies education, increasing specialisation opportunities in secondary technologies, providing better career guidance for prospective teachers, and promoting national consistency in technologies education. Addressing these issues is imperative for equipping teachers to effectively educate students in a technology-driven world and for sustaining Australia's competitiveness in global STEM industries.</w:t>
      </w:r>
    </w:p>
    <w:p w14:paraId="50DB8C0A" w14:textId="5F5E8E17" w:rsidR="007567A6" w:rsidRPr="000F5C6F" w:rsidRDefault="003E0637" w:rsidP="004E1507">
      <w:pPr>
        <w:spacing w:before="120" w:after="240" w:line="259" w:lineRule="auto"/>
        <w:rPr>
          <w:rFonts w:ascii="Helvetica" w:eastAsiaTheme="minorHAnsi" w:hAnsi="Helvetica" w:cstheme="minorBidi"/>
          <w:b/>
          <w:bCs/>
          <w:kern w:val="2"/>
          <w:sz w:val="28"/>
          <w:szCs w:val="28"/>
          <w:lang w:val="en-AU" w:eastAsia="en-US"/>
          <w14:ligatures w14:val="standardContextual"/>
        </w:rPr>
      </w:pPr>
      <w:r w:rsidRPr="000F5C6F">
        <w:rPr>
          <w:rFonts w:ascii="Helvetica" w:eastAsiaTheme="minorHAnsi" w:hAnsi="Helvetica" w:cstheme="minorBidi"/>
          <w:b/>
          <w:bCs/>
          <w:kern w:val="2"/>
          <w:sz w:val="28"/>
          <w:szCs w:val="28"/>
          <w:lang w:val="en-AU" w:eastAsia="en-US"/>
          <w14:ligatures w14:val="standardContextual"/>
        </w:rPr>
        <w:t>Keywords</w:t>
      </w:r>
    </w:p>
    <w:p w14:paraId="11983CAB" w14:textId="77777777" w:rsidR="007567A6" w:rsidRPr="000F5C6F" w:rsidRDefault="003E0637" w:rsidP="000F5C6F">
      <w:pPr>
        <w:spacing w:before="240" w:after="240" w:line="240" w:lineRule="auto"/>
        <w:jc w:val="both"/>
        <w:rPr>
          <w:rFonts w:ascii="Times New Roman" w:hAnsi="Times New Roman" w:cs="Times New Roman"/>
        </w:rPr>
      </w:pPr>
      <w:r w:rsidRPr="000F5C6F">
        <w:rPr>
          <w:rFonts w:ascii="Times New Roman" w:hAnsi="Times New Roman" w:cs="Times New Roman"/>
        </w:rPr>
        <w:t>Initial Teacher Education (ITE), Technologies Curriculum, Design and Technologies, Digital Technologies, ICT/Digital Literacy (ICT/DL), teacher accreditation, educational technology</w:t>
      </w:r>
    </w:p>
    <w:p w14:paraId="185C2837" w14:textId="4739766B" w:rsidR="007567A6" w:rsidRPr="000F5C6F" w:rsidRDefault="003E0637" w:rsidP="000F5C6F">
      <w:pPr>
        <w:pStyle w:val="Heading1"/>
        <w:spacing w:line="240" w:lineRule="auto"/>
        <w:jc w:val="both"/>
        <w:rPr>
          <w:rFonts w:ascii="Helvetica" w:eastAsiaTheme="minorHAnsi" w:hAnsi="Helvetica" w:cstheme="minorBidi"/>
          <w:kern w:val="2"/>
          <w:sz w:val="28"/>
          <w:szCs w:val="28"/>
          <w:lang w:val="en-AU" w:eastAsia="en-US"/>
          <w14:ligatures w14:val="standardContextual"/>
        </w:rPr>
      </w:pPr>
      <w:bookmarkStart w:id="2" w:name="_c2e6aqhouic4" w:colFirst="0" w:colLast="0"/>
      <w:bookmarkEnd w:id="2"/>
      <w:r w:rsidRPr="000F5C6F">
        <w:rPr>
          <w:rFonts w:ascii="Helvetica" w:eastAsiaTheme="minorHAnsi" w:hAnsi="Helvetica" w:cstheme="minorBidi"/>
          <w:kern w:val="2"/>
          <w:sz w:val="28"/>
          <w:szCs w:val="28"/>
          <w:lang w:val="en-AU" w:eastAsia="en-US"/>
          <w14:ligatures w14:val="standardContextual"/>
        </w:rPr>
        <w:lastRenderedPageBreak/>
        <w:t>Introduction</w:t>
      </w:r>
    </w:p>
    <w:p w14:paraId="37183674" w14:textId="77777777" w:rsidR="008A13E0" w:rsidRPr="000F5C6F" w:rsidRDefault="008A13E0" w:rsidP="008A13E0">
      <w:pPr>
        <w:spacing w:before="120" w:after="120" w:line="240" w:lineRule="auto"/>
        <w:jc w:val="both"/>
        <w:rPr>
          <w:rFonts w:ascii="Times New Roman" w:hAnsi="Times New Roman" w:cs="Times New Roman"/>
        </w:rPr>
      </w:pPr>
      <w:r w:rsidRPr="000F5C6F">
        <w:rPr>
          <w:rFonts w:ascii="Times New Roman" w:hAnsi="Times New Roman" w:cs="Times New Roman"/>
        </w:rPr>
        <w:t>As the world becomes increasingly reliant on technology, the role of schools in preparing students for this future is more critical than ever. Central to this preparation is the effectiveness of technologies education, which aims to foster students’ skills in both Design and Technologies and Digital Technologies (ACARA, 2015). The ability of schools to meet these objectives, however, hinges on how well Initial Teacher Education (ITE) program</w:t>
      </w:r>
      <w:r>
        <w:rPr>
          <w:rFonts w:ascii="Times New Roman" w:hAnsi="Times New Roman" w:cs="Times New Roman"/>
        </w:rPr>
        <w:t>me</w:t>
      </w:r>
      <w:r w:rsidRPr="000F5C6F">
        <w:rPr>
          <w:rFonts w:ascii="Times New Roman" w:hAnsi="Times New Roman" w:cs="Times New Roman"/>
        </w:rPr>
        <w:t>s equip future educators with the necessary skills and knowledge to teach these subjects. This study investigates the extent to which Australian ITE program</w:t>
      </w:r>
      <w:r>
        <w:rPr>
          <w:rFonts w:ascii="Times New Roman" w:hAnsi="Times New Roman" w:cs="Times New Roman"/>
        </w:rPr>
        <w:t>me</w:t>
      </w:r>
      <w:r w:rsidRPr="000F5C6F">
        <w:rPr>
          <w:rFonts w:ascii="Times New Roman" w:hAnsi="Times New Roman" w:cs="Times New Roman"/>
        </w:rPr>
        <w:t>s prepare pre-service teachers to deliver the technologies curriculum and technologies teaching areas, highlighting significant gaps, state-based disparities, and the broader implications for the education system and future workforce.</w:t>
      </w:r>
    </w:p>
    <w:p w14:paraId="36EDCA3F" w14:textId="77777777" w:rsidR="008A13E0" w:rsidRPr="000F5C6F" w:rsidRDefault="008A13E0" w:rsidP="008A13E0">
      <w:pPr>
        <w:spacing w:before="120" w:after="120" w:line="240" w:lineRule="auto"/>
        <w:jc w:val="both"/>
        <w:rPr>
          <w:rFonts w:ascii="Times New Roman" w:hAnsi="Times New Roman" w:cs="Times New Roman"/>
        </w:rPr>
      </w:pPr>
      <w:r w:rsidRPr="000F5C6F">
        <w:rPr>
          <w:rFonts w:ascii="Times New Roman" w:hAnsi="Times New Roman" w:cs="Times New Roman"/>
        </w:rPr>
        <w:t xml:space="preserve">The introduction of the Australian Curriculum </w:t>
      </w:r>
      <w:r w:rsidRPr="000F5C6F">
        <w:rPr>
          <w:rFonts w:ascii="Times New Roman" w:hAnsi="Times New Roman" w:cs="Times New Roman"/>
          <w:i/>
        </w:rPr>
        <w:t>Technologies Learning Area</w:t>
      </w:r>
      <w:r w:rsidRPr="000F5C6F">
        <w:rPr>
          <w:rFonts w:ascii="Times New Roman" w:hAnsi="Times New Roman" w:cs="Times New Roman"/>
        </w:rPr>
        <w:t xml:space="preserve"> in 2015 was a milestone in Australian education policy, reflecting the growing importance of digital literacy, design thinking, computational thinking, and problem-solving in an increasingly interconnected world. Yet, despite this curriculum framework, many ITE program</w:t>
      </w:r>
      <w:r>
        <w:rPr>
          <w:rFonts w:ascii="Times New Roman" w:hAnsi="Times New Roman" w:cs="Times New Roman"/>
        </w:rPr>
        <w:t>me</w:t>
      </w:r>
      <w:r w:rsidRPr="000F5C6F">
        <w:rPr>
          <w:rFonts w:ascii="Times New Roman" w:hAnsi="Times New Roman" w:cs="Times New Roman"/>
        </w:rPr>
        <w:t>s are not aligned with its objectives, leaving future teachers underprepared to teach vital technological skills. This is concerning given the rapid advancements in fields such as artificial intelligence (AI), robotics, advanced manufacturing techniques, and farm automation, which demand a workforce capable of both understanding and applying these emerging technologies. If teachers are not adequately trained in these areas, the risk of a skills gap developing between what students are taught and what industry requires is considerable (Zagami, 2022).</w:t>
      </w:r>
    </w:p>
    <w:p w14:paraId="5B749F03" w14:textId="77777777" w:rsidR="008A13E0" w:rsidRPr="000F5C6F" w:rsidRDefault="008A13E0" w:rsidP="008A13E0">
      <w:pPr>
        <w:spacing w:before="120" w:after="120" w:line="240" w:lineRule="auto"/>
        <w:jc w:val="both"/>
        <w:rPr>
          <w:rFonts w:ascii="Times New Roman" w:hAnsi="Times New Roman" w:cs="Times New Roman"/>
        </w:rPr>
      </w:pPr>
      <w:r w:rsidRPr="000F5C6F">
        <w:rPr>
          <w:rFonts w:ascii="Times New Roman" w:hAnsi="Times New Roman" w:cs="Times New Roman"/>
        </w:rPr>
        <w:t>The current five-year accreditation cycle for ITE program</w:t>
      </w:r>
      <w:r>
        <w:rPr>
          <w:rFonts w:ascii="Times New Roman" w:hAnsi="Times New Roman" w:cs="Times New Roman"/>
        </w:rPr>
        <w:t>me</w:t>
      </w:r>
      <w:r w:rsidRPr="000F5C6F">
        <w:rPr>
          <w:rFonts w:ascii="Times New Roman" w:hAnsi="Times New Roman" w:cs="Times New Roman"/>
        </w:rPr>
        <w:t>s presents a significant challenge in ensuring that program</w:t>
      </w:r>
      <w:r>
        <w:rPr>
          <w:rFonts w:ascii="Times New Roman" w:hAnsi="Times New Roman" w:cs="Times New Roman"/>
        </w:rPr>
        <w:t>me</w:t>
      </w:r>
      <w:r w:rsidRPr="000F5C6F">
        <w:rPr>
          <w:rFonts w:ascii="Times New Roman" w:hAnsi="Times New Roman" w:cs="Times New Roman"/>
        </w:rPr>
        <w:t>s remain up to date with evolving technologies. The rigid nature of this cycle means that any delay in addressing emerging educational needs, such as computational thinking (CT) or Generative AI, can result in a decade or more of outdated ITE curricula and missed opportunities to prepare teachers and their students for the realities of the modern world. Compounding this issue are regional disparities across Australia, where the availability of technologies education in ITE program</w:t>
      </w:r>
      <w:r>
        <w:rPr>
          <w:rFonts w:ascii="Times New Roman" w:hAnsi="Times New Roman" w:cs="Times New Roman"/>
        </w:rPr>
        <w:t>me</w:t>
      </w:r>
      <w:r w:rsidRPr="000F5C6F">
        <w:rPr>
          <w:rFonts w:ascii="Times New Roman" w:hAnsi="Times New Roman" w:cs="Times New Roman"/>
        </w:rPr>
        <w:t>s varies significantly between states and territories, exacerbating inequality in teacher preparation.</w:t>
      </w:r>
    </w:p>
    <w:p w14:paraId="240524E9" w14:textId="77777777" w:rsidR="008A13E0" w:rsidRPr="000F5C6F" w:rsidRDefault="008A13E0" w:rsidP="008A13E0">
      <w:pPr>
        <w:spacing w:before="120" w:after="120" w:line="240" w:lineRule="auto"/>
        <w:jc w:val="both"/>
        <w:rPr>
          <w:rFonts w:ascii="Times New Roman" w:hAnsi="Times New Roman" w:cs="Times New Roman"/>
        </w:rPr>
      </w:pPr>
      <w:r w:rsidRPr="000F5C6F">
        <w:rPr>
          <w:rFonts w:ascii="Times New Roman" w:hAnsi="Times New Roman" w:cs="Times New Roman"/>
        </w:rPr>
        <w:t>While previous studies have explored the scope of technologies education in Australian schools (</w:t>
      </w:r>
      <w:r w:rsidRPr="000F5C6F">
        <w:rPr>
          <w:rFonts w:ascii="Times New Roman" w:hAnsi="Times New Roman" w:cs="Times New Roman"/>
          <w:color w:val="222222"/>
          <w:highlight w:val="white"/>
        </w:rPr>
        <w:t>Williams &amp; Keirl, 2001) and</w:t>
      </w:r>
      <w:r w:rsidRPr="000F5C6F">
        <w:rPr>
          <w:rFonts w:ascii="Times New Roman" w:hAnsi="Times New Roman" w:cs="Times New Roman"/>
        </w:rPr>
        <w:t xml:space="preserve"> ITE program</w:t>
      </w:r>
      <w:r>
        <w:rPr>
          <w:rFonts w:ascii="Times New Roman" w:hAnsi="Times New Roman" w:cs="Times New Roman"/>
        </w:rPr>
        <w:t>me</w:t>
      </w:r>
      <w:r w:rsidRPr="000F5C6F">
        <w:rPr>
          <w:rFonts w:ascii="Times New Roman" w:hAnsi="Times New Roman" w:cs="Times New Roman"/>
        </w:rPr>
        <w:t>s (</w:t>
      </w:r>
      <w:r w:rsidRPr="000F5C6F">
        <w:rPr>
          <w:rFonts w:ascii="Times New Roman" w:hAnsi="Times New Roman" w:cs="Times New Roman"/>
          <w:color w:val="222222"/>
          <w:highlight w:val="white"/>
        </w:rPr>
        <w:t xml:space="preserve">Blannin </w:t>
      </w:r>
      <w:r w:rsidRPr="000F5C6F">
        <w:rPr>
          <w:rFonts w:ascii="Times New Roman" w:hAnsi="Times New Roman" w:cs="Times New Roman"/>
          <w:iCs/>
          <w:color w:val="222222"/>
          <w:highlight w:val="white"/>
        </w:rPr>
        <w:t>et al., 2022</w:t>
      </w:r>
      <w:r w:rsidRPr="000F5C6F">
        <w:rPr>
          <w:rFonts w:ascii="Times New Roman" w:hAnsi="Times New Roman" w:cs="Times New Roman"/>
          <w:i/>
          <w:color w:val="222222"/>
          <w:highlight w:val="white"/>
        </w:rPr>
        <w:t>)</w:t>
      </w:r>
      <w:r w:rsidRPr="000F5C6F">
        <w:rPr>
          <w:rFonts w:ascii="Times New Roman" w:hAnsi="Times New Roman" w:cs="Times New Roman"/>
        </w:rPr>
        <w:t>, this study is motivated by a growing recognition that inconsistencies in ITE program</w:t>
      </w:r>
      <w:r>
        <w:rPr>
          <w:rFonts w:ascii="Times New Roman" w:hAnsi="Times New Roman" w:cs="Times New Roman"/>
        </w:rPr>
        <w:t>me</w:t>
      </w:r>
      <w:r w:rsidRPr="000F5C6F">
        <w:rPr>
          <w:rFonts w:ascii="Times New Roman" w:hAnsi="Times New Roman" w:cs="Times New Roman"/>
        </w:rPr>
        <w:t>s have far-reaching consequences, not only for the successful implementation of technologies education in schools but also for the broader technological workforce pipeline. With industry looking to schools to develop future talent in STEM fields, it is crucial that ITE program</w:t>
      </w:r>
      <w:r>
        <w:rPr>
          <w:rFonts w:ascii="Times New Roman" w:hAnsi="Times New Roman" w:cs="Times New Roman"/>
        </w:rPr>
        <w:t>me</w:t>
      </w:r>
      <w:r w:rsidRPr="000F5C6F">
        <w:rPr>
          <w:rFonts w:ascii="Times New Roman" w:hAnsi="Times New Roman" w:cs="Times New Roman"/>
        </w:rPr>
        <w:t>s prepare teachers who can effectively engage students in technologies education. Unfortunately, current data suggests that many ITE program</w:t>
      </w:r>
      <w:r>
        <w:rPr>
          <w:rFonts w:ascii="Times New Roman" w:hAnsi="Times New Roman" w:cs="Times New Roman"/>
        </w:rPr>
        <w:t>me</w:t>
      </w:r>
      <w:r w:rsidRPr="000F5C6F">
        <w:rPr>
          <w:rFonts w:ascii="Times New Roman" w:hAnsi="Times New Roman" w:cs="Times New Roman"/>
        </w:rPr>
        <w:t>s fail to meet this need, with 27% of undergraduate (UG) and 10% of postgraduate (PG) program</w:t>
      </w:r>
      <w:r>
        <w:rPr>
          <w:rFonts w:ascii="Times New Roman" w:hAnsi="Times New Roman" w:cs="Times New Roman"/>
        </w:rPr>
        <w:t>me</w:t>
      </w:r>
      <w:r w:rsidRPr="000F5C6F">
        <w:rPr>
          <w:rFonts w:ascii="Times New Roman" w:hAnsi="Times New Roman" w:cs="Times New Roman"/>
        </w:rPr>
        <w:t>s offering no pathways for learning to teach any secondary technologies subjects and even fewer addressing specialised areas such as computer science or industrial technologies.</w:t>
      </w:r>
    </w:p>
    <w:p w14:paraId="7465CAEB" w14:textId="77777777" w:rsidR="008A13E0" w:rsidRPr="000F5C6F" w:rsidRDefault="008A13E0" w:rsidP="00F73CDF">
      <w:pPr>
        <w:spacing w:before="120" w:after="120" w:line="240" w:lineRule="auto"/>
        <w:jc w:val="both"/>
        <w:rPr>
          <w:rFonts w:ascii="Times New Roman" w:hAnsi="Times New Roman" w:cs="Times New Roman"/>
        </w:rPr>
      </w:pPr>
      <w:r w:rsidRPr="000F5C6F">
        <w:rPr>
          <w:rFonts w:ascii="Times New Roman" w:hAnsi="Times New Roman" w:cs="Times New Roman"/>
        </w:rPr>
        <w:t>The aim of this study is to examine the gaps in technologies education within Australian ITE program</w:t>
      </w:r>
      <w:r>
        <w:rPr>
          <w:rFonts w:ascii="Times New Roman" w:hAnsi="Times New Roman" w:cs="Times New Roman"/>
        </w:rPr>
        <w:t>me</w:t>
      </w:r>
      <w:r w:rsidRPr="000F5C6F">
        <w:rPr>
          <w:rFonts w:ascii="Times New Roman" w:hAnsi="Times New Roman" w:cs="Times New Roman"/>
        </w:rPr>
        <w:t>s, explore the systemic factors contributing to these deficiencies, and propose recommendations for improving the alignment between ITE offerings and the needs of both the Technologies Curriculum and the rapidly changing technological landscape. By addressing these gaps, this study seeks to ensure that Australian teachers are well-prepared to inspire and equip future generations of students to succeed in a technology-driven world.</w:t>
      </w:r>
    </w:p>
    <w:p w14:paraId="6AC7A00A" w14:textId="77777777" w:rsidR="007567A6" w:rsidRPr="000F5C6F" w:rsidRDefault="003E0637" w:rsidP="000F5C6F">
      <w:pPr>
        <w:spacing w:before="120" w:after="360" w:line="240" w:lineRule="auto"/>
        <w:jc w:val="both"/>
        <w:rPr>
          <w:rFonts w:ascii="Times New Roman" w:hAnsi="Times New Roman" w:cs="Times New Roman"/>
        </w:rPr>
      </w:pPr>
      <w:r w:rsidRPr="000F5C6F">
        <w:rPr>
          <w:rFonts w:ascii="Times New Roman" w:hAnsi="Times New Roman" w:cs="Times New Roman"/>
        </w:rPr>
        <w:t>The aim of this study is to examine the gaps in technologies education within Australian ITE programs, explore the systemic factors contributing to these deficiencies, and propose recommendations for improving the alignment between ITE offerings and the needs of both the Technologies Curriculum and the rapidly changing technological landscape. By addressing these gaps, this study seeks to ensure that Australian teachers are well-prepared to inspire and equip future generations of students to succeed in a technology-driven world.</w:t>
      </w:r>
    </w:p>
    <w:p w14:paraId="3BBEA690" w14:textId="77777777" w:rsidR="00F73CDF" w:rsidRDefault="00F73CDF" w:rsidP="000F5C6F">
      <w:pPr>
        <w:spacing w:after="120" w:line="259" w:lineRule="auto"/>
        <w:rPr>
          <w:rFonts w:ascii="Helvetica" w:eastAsiaTheme="minorHAnsi" w:hAnsi="Helvetica" w:cstheme="minorBidi"/>
          <w:b/>
          <w:bCs/>
          <w:kern w:val="2"/>
          <w:sz w:val="28"/>
          <w:szCs w:val="28"/>
          <w:lang w:val="en-AU" w:eastAsia="en-US"/>
          <w14:ligatures w14:val="standardContextual"/>
        </w:rPr>
      </w:pPr>
    </w:p>
    <w:p w14:paraId="07537FB2" w14:textId="12AAC119" w:rsidR="007567A6" w:rsidRPr="000F5C6F" w:rsidRDefault="003E0637" w:rsidP="000F5C6F">
      <w:pPr>
        <w:spacing w:after="120" w:line="259" w:lineRule="auto"/>
        <w:rPr>
          <w:rFonts w:ascii="Helvetica" w:eastAsiaTheme="minorHAnsi" w:hAnsi="Helvetica" w:cstheme="minorBidi"/>
          <w:b/>
          <w:bCs/>
          <w:kern w:val="2"/>
          <w:sz w:val="28"/>
          <w:szCs w:val="28"/>
          <w:lang w:val="en-AU" w:eastAsia="en-US"/>
          <w14:ligatures w14:val="standardContextual"/>
        </w:rPr>
      </w:pPr>
      <w:r w:rsidRPr="000F5C6F">
        <w:rPr>
          <w:rFonts w:ascii="Helvetica" w:eastAsiaTheme="minorHAnsi" w:hAnsi="Helvetica" w:cstheme="minorBidi"/>
          <w:b/>
          <w:bCs/>
          <w:kern w:val="2"/>
          <w:sz w:val="28"/>
          <w:szCs w:val="28"/>
          <w:lang w:val="en-AU" w:eastAsia="en-US"/>
          <w14:ligatures w14:val="standardContextual"/>
        </w:rPr>
        <w:lastRenderedPageBreak/>
        <w:t>Research Questions</w:t>
      </w:r>
    </w:p>
    <w:p w14:paraId="16EFEA43" w14:textId="77777777" w:rsidR="004E1507" w:rsidRPr="000F5C6F" w:rsidRDefault="004E1507" w:rsidP="004E1507">
      <w:pPr>
        <w:spacing w:before="240" w:after="240" w:line="240" w:lineRule="auto"/>
        <w:jc w:val="both"/>
        <w:rPr>
          <w:rFonts w:ascii="Times New Roman" w:hAnsi="Times New Roman" w:cs="Times New Roman"/>
        </w:rPr>
      </w:pPr>
      <w:bookmarkStart w:id="3" w:name="_f569o1oametz" w:colFirst="0" w:colLast="0"/>
      <w:bookmarkEnd w:id="3"/>
      <w:r w:rsidRPr="000F5C6F">
        <w:rPr>
          <w:rFonts w:ascii="Times New Roman" w:hAnsi="Times New Roman" w:cs="Times New Roman"/>
        </w:rPr>
        <w:t>This study is guided by the following research questions:</w:t>
      </w:r>
    </w:p>
    <w:p w14:paraId="0CFACBF5" w14:textId="77777777" w:rsidR="004E1507" w:rsidRPr="000F5C6F" w:rsidRDefault="004E1507" w:rsidP="004E1507">
      <w:pPr>
        <w:numPr>
          <w:ilvl w:val="0"/>
          <w:numId w:val="8"/>
        </w:numPr>
        <w:spacing w:before="240" w:line="240" w:lineRule="auto"/>
        <w:jc w:val="both"/>
        <w:rPr>
          <w:rFonts w:ascii="Times New Roman" w:hAnsi="Times New Roman" w:cs="Times New Roman"/>
        </w:rPr>
      </w:pPr>
      <w:r w:rsidRPr="000F5C6F">
        <w:rPr>
          <w:rFonts w:ascii="Times New Roman" w:hAnsi="Times New Roman" w:cs="Times New Roman"/>
        </w:rPr>
        <w:t>To what extent do Australian ITE program</w:t>
      </w:r>
      <w:r>
        <w:rPr>
          <w:rFonts w:ascii="Times New Roman" w:hAnsi="Times New Roman" w:cs="Times New Roman"/>
        </w:rPr>
        <w:t>me</w:t>
      </w:r>
      <w:r w:rsidRPr="000F5C6F">
        <w:rPr>
          <w:rFonts w:ascii="Times New Roman" w:hAnsi="Times New Roman" w:cs="Times New Roman"/>
        </w:rPr>
        <w:t xml:space="preserve">s prepare pre-service teachers to deliver the Australian Curriculum: Technologies, including both </w:t>
      </w:r>
      <w:r w:rsidRPr="000F5C6F">
        <w:rPr>
          <w:rFonts w:ascii="Times New Roman" w:hAnsi="Times New Roman" w:cs="Times New Roman"/>
          <w:i/>
        </w:rPr>
        <w:t>Design and Technologies</w:t>
      </w:r>
      <w:r w:rsidRPr="000F5C6F">
        <w:rPr>
          <w:rFonts w:ascii="Times New Roman" w:hAnsi="Times New Roman" w:cs="Times New Roman"/>
        </w:rPr>
        <w:t xml:space="preserve"> and </w:t>
      </w:r>
      <w:r w:rsidRPr="000F5C6F">
        <w:rPr>
          <w:rFonts w:ascii="Times New Roman" w:hAnsi="Times New Roman" w:cs="Times New Roman"/>
          <w:i/>
        </w:rPr>
        <w:t>Digital Technologies</w:t>
      </w:r>
      <w:r w:rsidRPr="000F5C6F">
        <w:rPr>
          <w:rFonts w:ascii="Times New Roman" w:hAnsi="Times New Roman" w:cs="Times New Roman"/>
        </w:rPr>
        <w:t>?</w:t>
      </w:r>
    </w:p>
    <w:p w14:paraId="0C6F31A6" w14:textId="77777777" w:rsidR="004E1507" w:rsidRPr="000F5C6F" w:rsidRDefault="004E1507" w:rsidP="004E1507">
      <w:pPr>
        <w:numPr>
          <w:ilvl w:val="0"/>
          <w:numId w:val="8"/>
        </w:numPr>
        <w:spacing w:line="240" w:lineRule="auto"/>
        <w:jc w:val="both"/>
        <w:rPr>
          <w:rFonts w:ascii="Times New Roman" w:hAnsi="Times New Roman" w:cs="Times New Roman"/>
        </w:rPr>
      </w:pPr>
      <w:r w:rsidRPr="000F5C6F">
        <w:rPr>
          <w:rFonts w:ascii="Times New Roman" w:hAnsi="Times New Roman" w:cs="Times New Roman"/>
        </w:rPr>
        <w:t>What are the key barriers to integrating comprehensive technologies education within ITE program</w:t>
      </w:r>
      <w:r>
        <w:rPr>
          <w:rFonts w:ascii="Times New Roman" w:hAnsi="Times New Roman" w:cs="Times New Roman"/>
        </w:rPr>
        <w:t>me</w:t>
      </w:r>
      <w:r w:rsidRPr="000F5C6F">
        <w:rPr>
          <w:rFonts w:ascii="Times New Roman" w:hAnsi="Times New Roman" w:cs="Times New Roman"/>
        </w:rPr>
        <w:t>s, and how do these vary across states and territories?</w:t>
      </w:r>
    </w:p>
    <w:p w14:paraId="20D07743" w14:textId="77777777" w:rsidR="004E1507" w:rsidRPr="000F5C6F" w:rsidRDefault="004E1507" w:rsidP="004E1507">
      <w:pPr>
        <w:numPr>
          <w:ilvl w:val="0"/>
          <w:numId w:val="8"/>
        </w:numPr>
        <w:spacing w:line="240" w:lineRule="auto"/>
        <w:jc w:val="both"/>
        <w:rPr>
          <w:rFonts w:ascii="Times New Roman" w:hAnsi="Times New Roman" w:cs="Times New Roman"/>
        </w:rPr>
      </w:pPr>
      <w:r w:rsidRPr="000F5C6F">
        <w:rPr>
          <w:rFonts w:ascii="Times New Roman" w:hAnsi="Times New Roman" w:cs="Times New Roman"/>
        </w:rPr>
        <w:t>How does the five-year ITE accreditation cycle impact the responsiveness of teacher education program</w:t>
      </w:r>
      <w:r>
        <w:rPr>
          <w:rFonts w:ascii="Times New Roman" w:hAnsi="Times New Roman" w:cs="Times New Roman"/>
        </w:rPr>
        <w:t>me</w:t>
      </w:r>
      <w:r w:rsidRPr="000F5C6F">
        <w:rPr>
          <w:rFonts w:ascii="Times New Roman" w:hAnsi="Times New Roman" w:cs="Times New Roman"/>
        </w:rPr>
        <w:t>s to advancements in educational technology, and what changes are needed to address this challenge?</w:t>
      </w:r>
    </w:p>
    <w:p w14:paraId="787C0387" w14:textId="77777777" w:rsidR="004E1507" w:rsidRPr="000F5C6F" w:rsidRDefault="004E1507" w:rsidP="004E1507">
      <w:pPr>
        <w:numPr>
          <w:ilvl w:val="0"/>
          <w:numId w:val="8"/>
        </w:numPr>
        <w:spacing w:after="120" w:line="240" w:lineRule="auto"/>
        <w:jc w:val="both"/>
        <w:rPr>
          <w:rFonts w:ascii="Times New Roman" w:hAnsi="Times New Roman" w:cs="Times New Roman"/>
        </w:rPr>
      </w:pPr>
      <w:r w:rsidRPr="000F5C6F">
        <w:rPr>
          <w:rFonts w:ascii="Times New Roman" w:hAnsi="Times New Roman" w:cs="Times New Roman"/>
        </w:rPr>
        <w:t>What strategies can be implemented to improve the alignment of ITE program</w:t>
      </w:r>
      <w:r>
        <w:rPr>
          <w:rFonts w:ascii="Times New Roman" w:hAnsi="Times New Roman" w:cs="Times New Roman"/>
        </w:rPr>
        <w:t>me</w:t>
      </w:r>
      <w:r w:rsidRPr="000F5C6F">
        <w:rPr>
          <w:rFonts w:ascii="Times New Roman" w:hAnsi="Times New Roman" w:cs="Times New Roman"/>
        </w:rPr>
        <w:t>s with technologies education in schools and the needs of Australia’s future workforce in STEM-related industries?</w:t>
      </w:r>
    </w:p>
    <w:p w14:paraId="48A0491B" w14:textId="77777777" w:rsidR="004E1507" w:rsidRPr="000F5C6F" w:rsidRDefault="004E1507" w:rsidP="004E1507">
      <w:pPr>
        <w:spacing w:before="120" w:after="480" w:line="240" w:lineRule="auto"/>
        <w:jc w:val="both"/>
        <w:rPr>
          <w:rFonts w:ascii="Times New Roman" w:hAnsi="Times New Roman" w:cs="Times New Roman"/>
        </w:rPr>
      </w:pPr>
      <w:r w:rsidRPr="000F5C6F">
        <w:rPr>
          <w:rFonts w:ascii="Times New Roman" w:hAnsi="Times New Roman" w:cs="Times New Roman"/>
        </w:rPr>
        <w:t>Through a detailed analysis of ITE program</w:t>
      </w:r>
      <w:r>
        <w:rPr>
          <w:rFonts w:ascii="Times New Roman" w:hAnsi="Times New Roman" w:cs="Times New Roman"/>
        </w:rPr>
        <w:t>me</w:t>
      </w:r>
      <w:r w:rsidRPr="000F5C6F">
        <w:rPr>
          <w:rFonts w:ascii="Times New Roman" w:hAnsi="Times New Roman" w:cs="Times New Roman"/>
        </w:rPr>
        <w:t xml:space="preserve"> offerings across the 41 Australian universities offering ITE program</w:t>
      </w:r>
      <w:r>
        <w:rPr>
          <w:rFonts w:ascii="Times New Roman" w:hAnsi="Times New Roman" w:cs="Times New Roman"/>
        </w:rPr>
        <w:t>me</w:t>
      </w:r>
      <w:r w:rsidRPr="000F5C6F">
        <w:rPr>
          <w:rFonts w:ascii="Times New Roman" w:hAnsi="Times New Roman" w:cs="Times New Roman"/>
        </w:rPr>
        <w:t>s, this study aims to provide actionable insights into how Australia’s teacher preparation system can evolve to better meet the demands of 21st-century education. In doing so, it hopes to contribute to the development of a more consistent, equitable, and forward-thinking approach to technologies education in Australian schools.</w:t>
      </w:r>
    </w:p>
    <w:p w14:paraId="23505C77" w14:textId="107769BD" w:rsidR="007567A6" w:rsidRPr="000F5C6F" w:rsidRDefault="003E0637" w:rsidP="000F5C6F">
      <w:pPr>
        <w:spacing w:after="240" w:line="259" w:lineRule="auto"/>
        <w:rPr>
          <w:rFonts w:ascii="Helvetica" w:eastAsiaTheme="minorHAnsi" w:hAnsi="Helvetica" w:cstheme="minorBidi"/>
          <w:b/>
          <w:bCs/>
          <w:kern w:val="2"/>
          <w:sz w:val="28"/>
          <w:szCs w:val="28"/>
          <w:lang w:val="en-AU" w:eastAsia="en-US"/>
          <w14:ligatures w14:val="standardContextual"/>
        </w:rPr>
      </w:pPr>
      <w:r w:rsidRPr="000F5C6F">
        <w:rPr>
          <w:rFonts w:ascii="Helvetica" w:eastAsiaTheme="minorHAnsi" w:hAnsi="Helvetica" w:cstheme="minorBidi"/>
          <w:b/>
          <w:bCs/>
          <w:kern w:val="2"/>
          <w:sz w:val="28"/>
          <w:szCs w:val="28"/>
          <w:lang w:val="en-AU" w:eastAsia="en-US"/>
          <w14:ligatures w14:val="standardContextual"/>
        </w:rPr>
        <w:t>Literature Review</w:t>
      </w:r>
    </w:p>
    <w:p w14:paraId="5CF7F3F5" w14:textId="2DA810E2" w:rsidR="007567A6" w:rsidRPr="00DF22AA" w:rsidRDefault="003E0637" w:rsidP="000F5C6F">
      <w:pPr>
        <w:pStyle w:val="Heading3"/>
        <w:spacing w:line="240" w:lineRule="auto"/>
        <w:jc w:val="both"/>
        <w:rPr>
          <w:rFonts w:ascii="Helvetica" w:hAnsi="Helvetica" w:cs="Times New Roman"/>
          <w:i w:val="0"/>
          <w:iCs w:val="0"/>
          <w:sz w:val="24"/>
          <w:szCs w:val="24"/>
        </w:rPr>
      </w:pPr>
      <w:bookmarkStart w:id="4" w:name="_hm96i4v4a26" w:colFirst="0" w:colLast="0"/>
      <w:bookmarkEnd w:id="4"/>
      <w:r w:rsidRPr="00DF22AA">
        <w:rPr>
          <w:rFonts w:ascii="Helvetica" w:hAnsi="Helvetica" w:cs="Times New Roman"/>
          <w:i w:val="0"/>
          <w:iCs w:val="0"/>
          <w:sz w:val="24"/>
          <w:szCs w:val="24"/>
        </w:rPr>
        <w:t>Technologies Education in Australia</w:t>
      </w:r>
    </w:p>
    <w:p w14:paraId="18F763A2" w14:textId="77777777" w:rsidR="004E1507" w:rsidRPr="000F5C6F" w:rsidRDefault="004E1507" w:rsidP="004E1507">
      <w:pPr>
        <w:spacing w:before="120" w:after="240" w:line="240" w:lineRule="auto"/>
        <w:jc w:val="both"/>
        <w:rPr>
          <w:rFonts w:ascii="Times New Roman" w:hAnsi="Times New Roman" w:cs="Times New Roman"/>
        </w:rPr>
      </w:pPr>
      <w:r w:rsidRPr="000F5C6F">
        <w:rPr>
          <w:rFonts w:ascii="Times New Roman" w:hAnsi="Times New Roman" w:cs="Times New Roman"/>
        </w:rPr>
        <w:t xml:space="preserve">Technologies education has a long history in Australian schools, beginning with the integration of manual arts and technical studies in the mid-20th century and evolving into the current Technologies Learning Area introduced by the Australian Curriculum, Assessment and Reporting Authority (ACARA) in 2015. The curriculum aims to equip students with the knowledge and skills necessary for active participation in a technology-driven society. It is generally divided into two organisational strands: </w:t>
      </w:r>
      <w:r w:rsidRPr="000F5C6F">
        <w:rPr>
          <w:rFonts w:ascii="Times New Roman" w:hAnsi="Times New Roman" w:cs="Times New Roman"/>
          <w:i/>
        </w:rPr>
        <w:t>Design and Technologies</w:t>
      </w:r>
      <w:r w:rsidRPr="000F5C6F">
        <w:rPr>
          <w:rFonts w:ascii="Times New Roman" w:hAnsi="Times New Roman" w:cs="Times New Roman"/>
        </w:rPr>
        <w:t xml:space="preserve"> and </w:t>
      </w:r>
      <w:r w:rsidRPr="000F5C6F">
        <w:rPr>
          <w:rFonts w:ascii="Times New Roman" w:hAnsi="Times New Roman" w:cs="Times New Roman"/>
          <w:i/>
        </w:rPr>
        <w:t>Digital Technologies</w:t>
      </w:r>
      <w:r w:rsidRPr="000F5C6F">
        <w:rPr>
          <w:rFonts w:ascii="Times New Roman" w:hAnsi="Times New Roman" w:cs="Times New Roman"/>
        </w:rPr>
        <w:t xml:space="preserve"> (ACARA, 2015).</w:t>
      </w:r>
    </w:p>
    <w:p w14:paraId="65B60FF9" w14:textId="77777777" w:rsidR="004E1507" w:rsidRPr="000F5C6F" w:rsidRDefault="004E1507" w:rsidP="004E1507">
      <w:pPr>
        <w:numPr>
          <w:ilvl w:val="0"/>
          <w:numId w:val="5"/>
        </w:numPr>
        <w:spacing w:before="240" w:line="240" w:lineRule="auto"/>
        <w:jc w:val="both"/>
        <w:rPr>
          <w:rFonts w:ascii="Times New Roman" w:hAnsi="Times New Roman" w:cs="Times New Roman"/>
        </w:rPr>
      </w:pPr>
      <w:r>
        <w:rPr>
          <w:rFonts w:ascii="Times New Roman" w:hAnsi="Times New Roman" w:cs="Times New Roman"/>
        </w:rPr>
        <w:t xml:space="preserve">The </w:t>
      </w:r>
      <w:r w:rsidRPr="000F5C6F">
        <w:rPr>
          <w:rFonts w:ascii="Times New Roman" w:hAnsi="Times New Roman" w:cs="Times New Roman"/>
        </w:rPr>
        <w:t>Design and Technologies</w:t>
      </w:r>
      <w:r>
        <w:rPr>
          <w:rFonts w:ascii="Times New Roman" w:hAnsi="Times New Roman" w:cs="Times New Roman"/>
        </w:rPr>
        <w:t xml:space="preserve"> strand</w:t>
      </w:r>
      <w:r w:rsidRPr="000F5C6F">
        <w:rPr>
          <w:rFonts w:ascii="Times New Roman" w:hAnsi="Times New Roman" w:cs="Times New Roman"/>
        </w:rPr>
        <w:t xml:space="preserve"> focuses on teaching students to use design processes and systems thinking to develop sustainable solutions to real-world problems. Students engage in design thinking, project management, and the use of various materials and tools to create innovative solutions.</w:t>
      </w:r>
    </w:p>
    <w:p w14:paraId="148FA04C" w14:textId="77777777" w:rsidR="004E1507" w:rsidRPr="000F5C6F" w:rsidRDefault="004E1507" w:rsidP="004E1507">
      <w:pPr>
        <w:numPr>
          <w:ilvl w:val="0"/>
          <w:numId w:val="5"/>
        </w:numPr>
        <w:spacing w:after="120" w:line="240" w:lineRule="auto"/>
        <w:jc w:val="both"/>
        <w:rPr>
          <w:rFonts w:ascii="Times New Roman" w:hAnsi="Times New Roman" w:cs="Times New Roman"/>
        </w:rPr>
      </w:pPr>
      <w:r>
        <w:rPr>
          <w:rFonts w:ascii="Times New Roman" w:hAnsi="Times New Roman" w:cs="Times New Roman"/>
        </w:rPr>
        <w:t xml:space="preserve">The </w:t>
      </w:r>
      <w:r w:rsidRPr="000F5C6F">
        <w:rPr>
          <w:rFonts w:ascii="Times New Roman" w:hAnsi="Times New Roman" w:cs="Times New Roman"/>
        </w:rPr>
        <w:t xml:space="preserve">Digital Technologies </w:t>
      </w:r>
      <w:r>
        <w:rPr>
          <w:rFonts w:ascii="Times New Roman" w:hAnsi="Times New Roman" w:cs="Times New Roman"/>
        </w:rPr>
        <w:t xml:space="preserve">strand </w:t>
      </w:r>
      <w:r w:rsidRPr="000F5C6F">
        <w:rPr>
          <w:rFonts w:ascii="Times New Roman" w:hAnsi="Times New Roman" w:cs="Times New Roman"/>
        </w:rPr>
        <w:t>is focused on developing students' computational thinking, programming skills, and understanding of digital systems. It prepares students for the future by fostering skills such as data analysis, algorithm design, and problem-solving using technology.</w:t>
      </w:r>
    </w:p>
    <w:p w14:paraId="6505391B" w14:textId="77777777" w:rsidR="004E1507" w:rsidRPr="000F5C6F" w:rsidRDefault="004E1507" w:rsidP="004E1507">
      <w:pPr>
        <w:spacing w:before="120" w:after="120" w:line="240" w:lineRule="auto"/>
        <w:jc w:val="both"/>
        <w:rPr>
          <w:rFonts w:ascii="Times New Roman" w:hAnsi="Times New Roman" w:cs="Times New Roman"/>
        </w:rPr>
      </w:pPr>
      <w:r w:rsidRPr="000F5C6F">
        <w:rPr>
          <w:rFonts w:ascii="Times New Roman" w:hAnsi="Times New Roman" w:cs="Times New Roman"/>
        </w:rPr>
        <w:t>Despite the curriculum’s ambitions, its successful implementation depends on how well teachers are prepared to deliver these strands, particularly in a rapidly changing technological landscape. ITE program</w:t>
      </w:r>
      <w:r>
        <w:rPr>
          <w:rFonts w:ascii="Times New Roman" w:hAnsi="Times New Roman" w:cs="Times New Roman"/>
        </w:rPr>
        <w:t>me</w:t>
      </w:r>
      <w:r w:rsidRPr="000F5C6F">
        <w:rPr>
          <w:rFonts w:ascii="Times New Roman" w:hAnsi="Times New Roman" w:cs="Times New Roman"/>
        </w:rPr>
        <w:t xml:space="preserve">s, therefore, have a crucial role in ensuring that pre-service teachers are equipped with the necessary skills to teach both </w:t>
      </w:r>
      <w:r w:rsidRPr="000F5C6F">
        <w:rPr>
          <w:rFonts w:ascii="Times New Roman" w:hAnsi="Times New Roman" w:cs="Times New Roman"/>
          <w:i/>
        </w:rPr>
        <w:t>Design and Technologies</w:t>
      </w:r>
      <w:r w:rsidRPr="000F5C6F">
        <w:rPr>
          <w:rFonts w:ascii="Times New Roman" w:hAnsi="Times New Roman" w:cs="Times New Roman"/>
        </w:rPr>
        <w:t xml:space="preserve"> and </w:t>
      </w:r>
      <w:r w:rsidRPr="000F5C6F">
        <w:rPr>
          <w:rFonts w:ascii="Times New Roman" w:hAnsi="Times New Roman" w:cs="Times New Roman"/>
          <w:i/>
        </w:rPr>
        <w:t>Digital Technologies</w:t>
      </w:r>
      <w:r w:rsidRPr="000F5C6F">
        <w:rPr>
          <w:rFonts w:ascii="Times New Roman" w:hAnsi="Times New Roman" w:cs="Times New Roman"/>
        </w:rPr>
        <w:t>.</w:t>
      </w:r>
    </w:p>
    <w:p w14:paraId="146CB52D" w14:textId="77777777" w:rsidR="004E1507" w:rsidRPr="000F5C6F" w:rsidRDefault="004E1507" w:rsidP="00F73CDF">
      <w:pPr>
        <w:spacing w:before="120" w:after="120" w:line="240" w:lineRule="auto"/>
        <w:jc w:val="both"/>
        <w:rPr>
          <w:rFonts w:ascii="Times New Roman" w:hAnsi="Times New Roman" w:cs="Times New Roman"/>
        </w:rPr>
      </w:pPr>
      <w:r w:rsidRPr="000F5C6F">
        <w:rPr>
          <w:rFonts w:ascii="Times New Roman" w:hAnsi="Times New Roman" w:cs="Times New Roman"/>
        </w:rPr>
        <w:t>While all Australian states and territories agreed to implement the Australian curriculum (Ministerial Council on Education, Employment, Training and Youth Affairs, 2008), in practice, there is significant variation, with some</w:t>
      </w:r>
      <w:r>
        <w:rPr>
          <w:rFonts w:ascii="Times New Roman" w:hAnsi="Times New Roman" w:cs="Times New Roman"/>
        </w:rPr>
        <w:t xml:space="preserve"> states</w:t>
      </w:r>
      <w:r w:rsidRPr="000F5C6F">
        <w:rPr>
          <w:rFonts w:ascii="Times New Roman" w:hAnsi="Times New Roman" w:cs="Times New Roman"/>
        </w:rPr>
        <w:t>, most notably NSW, developing more independent curricula. This has in turn complicated a consistent approach in ITE.</w:t>
      </w:r>
    </w:p>
    <w:p w14:paraId="296F3632" w14:textId="77777777" w:rsidR="004E1507" w:rsidRPr="000F5C6F" w:rsidRDefault="004E1507" w:rsidP="004E1507">
      <w:pPr>
        <w:spacing w:before="120" w:after="120" w:line="240" w:lineRule="auto"/>
        <w:jc w:val="both"/>
        <w:rPr>
          <w:rFonts w:ascii="Times New Roman" w:hAnsi="Times New Roman" w:cs="Times New Roman"/>
        </w:rPr>
      </w:pPr>
      <w:r w:rsidRPr="000F5C6F">
        <w:rPr>
          <w:rFonts w:ascii="Times New Roman" w:hAnsi="Times New Roman" w:cs="Times New Roman"/>
        </w:rPr>
        <w:t>The Australian Curriculum: Technologies learning area does not extend into the senior years, unlike the English, Mathematics, Science and History learning areas. This results in inconsistency and a general lack of focus within senior Technologies education in Australia, with four broad areas of teaching areas evident in ITE program</w:t>
      </w:r>
      <w:r>
        <w:rPr>
          <w:rFonts w:ascii="Times New Roman" w:hAnsi="Times New Roman" w:cs="Times New Roman"/>
        </w:rPr>
        <w:t>me</w:t>
      </w:r>
      <w:r w:rsidRPr="000F5C6F">
        <w:rPr>
          <w:rFonts w:ascii="Times New Roman" w:hAnsi="Times New Roman" w:cs="Times New Roman"/>
        </w:rPr>
        <w:t xml:space="preserve">s: </w:t>
      </w:r>
    </w:p>
    <w:p w14:paraId="2A7EF482" w14:textId="77777777" w:rsidR="004E1507" w:rsidRPr="000F5C6F" w:rsidRDefault="004E1507" w:rsidP="004E1507">
      <w:pPr>
        <w:numPr>
          <w:ilvl w:val="0"/>
          <w:numId w:val="9"/>
        </w:numPr>
        <w:spacing w:before="120" w:line="240" w:lineRule="auto"/>
        <w:jc w:val="both"/>
        <w:rPr>
          <w:rFonts w:ascii="Times New Roman" w:hAnsi="Times New Roman" w:cs="Times New Roman"/>
        </w:rPr>
      </w:pPr>
      <w:r w:rsidRPr="000F5C6F">
        <w:rPr>
          <w:rFonts w:ascii="Times New Roman" w:hAnsi="Times New Roman" w:cs="Times New Roman"/>
        </w:rPr>
        <w:lastRenderedPageBreak/>
        <w:t xml:space="preserve">computing, encompassing computer science, multimedia and information technology courses; </w:t>
      </w:r>
    </w:p>
    <w:p w14:paraId="6376D89F" w14:textId="77777777" w:rsidR="004E1507" w:rsidRPr="000F5C6F" w:rsidRDefault="004E1507" w:rsidP="004E1507">
      <w:pPr>
        <w:numPr>
          <w:ilvl w:val="0"/>
          <w:numId w:val="9"/>
        </w:numPr>
        <w:spacing w:line="240" w:lineRule="auto"/>
        <w:jc w:val="both"/>
        <w:rPr>
          <w:rFonts w:ascii="Times New Roman" w:hAnsi="Times New Roman" w:cs="Times New Roman"/>
        </w:rPr>
      </w:pPr>
      <w:r w:rsidRPr="000F5C6F">
        <w:rPr>
          <w:rFonts w:ascii="Times New Roman" w:hAnsi="Times New Roman" w:cs="Times New Roman"/>
        </w:rPr>
        <w:t xml:space="preserve">industrial technologies, encompassing engineering, design and technology, and industrial arts subjects; </w:t>
      </w:r>
    </w:p>
    <w:p w14:paraId="61612AD8" w14:textId="77777777" w:rsidR="004E1507" w:rsidRPr="000F5C6F" w:rsidRDefault="004E1507" w:rsidP="004E1507">
      <w:pPr>
        <w:numPr>
          <w:ilvl w:val="0"/>
          <w:numId w:val="9"/>
        </w:numPr>
        <w:spacing w:line="240" w:lineRule="auto"/>
        <w:jc w:val="both"/>
        <w:rPr>
          <w:rFonts w:ascii="Times New Roman" w:hAnsi="Times New Roman" w:cs="Times New Roman"/>
        </w:rPr>
      </w:pPr>
      <w:r w:rsidRPr="000F5C6F">
        <w:rPr>
          <w:rFonts w:ascii="Times New Roman" w:hAnsi="Times New Roman" w:cs="Times New Roman"/>
        </w:rPr>
        <w:t xml:space="preserve">home economics, encompassing food and textile technologies subjects, and </w:t>
      </w:r>
    </w:p>
    <w:p w14:paraId="67B58D90" w14:textId="77777777" w:rsidR="004E1507" w:rsidRPr="000F5C6F" w:rsidRDefault="004E1507" w:rsidP="004E1507">
      <w:pPr>
        <w:numPr>
          <w:ilvl w:val="0"/>
          <w:numId w:val="9"/>
        </w:numPr>
        <w:spacing w:after="240" w:line="240" w:lineRule="auto"/>
        <w:jc w:val="both"/>
        <w:rPr>
          <w:rFonts w:ascii="Times New Roman" w:hAnsi="Times New Roman" w:cs="Times New Roman"/>
        </w:rPr>
      </w:pPr>
      <w:r w:rsidRPr="000F5C6F">
        <w:rPr>
          <w:rFonts w:ascii="Times New Roman" w:hAnsi="Times New Roman" w:cs="Times New Roman"/>
        </w:rPr>
        <w:t xml:space="preserve">agriculture subjects. </w:t>
      </w:r>
    </w:p>
    <w:p w14:paraId="01027AB6" w14:textId="374D9B3E" w:rsidR="007567A6" w:rsidRDefault="004E1507" w:rsidP="00DF22AA">
      <w:pPr>
        <w:spacing w:before="120" w:after="120" w:line="240" w:lineRule="auto"/>
        <w:jc w:val="both"/>
        <w:rPr>
          <w:rFonts w:ascii="Times New Roman" w:hAnsi="Times New Roman" w:cs="Times New Roman"/>
        </w:rPr>
      </w:pPr>
      <w:r w:rsidRPr="000F5C6F">
        <w:rPr>
          <w:rFonts w:ascii="Times New Roman" w:hAnsi="Times New Roman" w:cs="Times New Roman"/>
        </w:rPr>
        <w:t>Preparation of teachers for these teaching areas in ITE varies considerably across and within states and territories, with little guidance or standards available to inform ITE program</w:t>
      </w:r>
      <w:r>
        <w:rPr>
          <w:rFonts w:ascii="Times New Roman" w:hAnsi="Times New Roman" w:cs="Times New Roman"/>
        </w:rPr>
        <w:t>me</w:t>
      </w:r>
      <w:r w:rsidRPr="000F5C6F">
        <w:rPr>
          <w:rFonts w:ascii="Times New Roman" w:hAnsi="Times New Roman" w:cs="Times New Roman"/>
        </w:rPr>
        <w:t xml:space="preserve"> development.</w:t>
      </w:r>
    </w:p>
    <w:p w14:paraId="572A4CB7" w14:textId="6763610E" w:rsidR="007567A6" w:rsidRPr="00DF22AA" w:rsidRDefault="003E0637" w:rsidP="000F5C6F">
      <w:pPr>
        <w:pStyle w:val="Heading3"/>
        <w:spacing w:line="240" w:lineRule="auto"/>
        <w:jc w:val="both"/>
        <w:rPr>
          <w:rFonts w:ascii="Helvetica" w:hAnsi="Helvetica" w:cs="Times New Roman"/>
          <w:i w:val="0"/>
          <w:iCs w:val="0"/>
          <w:sz w:val="24"/>
          <w:szCs w:val="24"/>
        </w:rPr>
      </w:pPr>
      <w:bookmarkStart w:id="5" w:name="_mdhxh5o8y4t" w:colFirst="0" w:colLast="0"/>
      <w:bookmarkEnd w:id="5"/>
      <w:r w:rsidRPr="00DF22AA">
        <w:rPr>
          <w:rFonts w:ascii="Helvetica" w:hAnsi="Helvetica" w:cs="Times New Roman"/>
          <w:i w:val="0"/>
          <w:iCs w:val="0"/>
          <w:sz w:val="24"/>
          <w:szCs w:val="24"/>
        </w:rPr>
        <w:t>The Role of Initial Teacher Education (ITE) in Technologies Education</w:t>
      </w:r>
    </w:p>
    <w:p w14:paraId="0F0FA66A" w14:textId="77777777" w:rsidR="004E1507" w:rsidRPr="000F5C6F" w:rsidRDefault="004E1507" w:rsidP="004E1507">
      <w:pPr>
        <w:spacing w:before="120" w:after="240" w:line="240" w:lineRule="auto"/>
        <w:jc w:val="both"/>
        <w:rPr>
          <w:rFonts w:ascii="Times New Roman" w:hAnsi="Times New Roman" w:cs="Times New Roman"/>
        </w:rPr>
      </w:pPr>
      <w:bookmarkStart w:id="6" w:name="_gn0ddgpdwkwt" w:colFirst="0" w:colLast="0"/>
      <w:bookmarkEnd w:id="6"/>
      <w:r w:rsidRPr="000F5C6F">
        <w:rPr>
          <w:rFonts w:ascii="Times New Roman" w:hAnsi="Times New Roman" w:cs="Times New Roman"/>
        </w:rPr>
        <w:t>The responsibility for preparing teachers to teach Technologies in schools in Australia falls to ITE program</w:t>
      </w:r>
      <w:r>
        <w:rPr>
          <w:rFonts w:ascii="Times New Roman" w:hAnsi="Times New Roman" w:cs="Times New Roman"/>
        </w:rPr>
        <w:t>me</w:t>
      </w:r>
      <w:r w:rsidRPr="000F5C6F">
        <w:rPr>
          <w:rFonts w:ascii="Times New Roman" w:hAnsi="Times New Roman" w:cs="Times New Roman"/>
        </w:rPr>
        <w:t>s. These program</w:t>
      </w:r>
      <w:r>
        <w:rPr>
          <w:rFonts w:ascii="Times New Roman" w:hAnsi="Times New Roman" w:cs="Times New Roman"/>
        </w:rPr>
        <w:t>me</w:t>
      </w:r>
      <w:r w:rsidRPr="000F5C6F">
        <w:rPr>
          <w:rFonts w:ascii="Times New Roman" w:hAnsi="Times New Roman" w:cs="Times New Roman"/>
        </w:rPr>
        <w:t>s are guided and accredited by the Australian Institute for Teaching and School Leadership (AITSL), which provides and requires that graduates meet specific professional standards. However, while AITSL establishes the standards, individual state and territory institutions conduct the accreditation of their program</w:t>
      </w:r>
      <w:r>
        <w:rPr>
          <w:rFonts w:ascii="Times New Roman" w:hAnsi="Times New Roman" w:cs="Times New Roman"/>
        </w:rPr>
        <w:t>me</w:t>
      </w:r>
      <w:r w:rsidRPr="000F5C6F">
        <w:rPr>
          <w:rFonts w:ascii="Times New Roman" w:hAnsi="Times New Roman" w:cs="Times New Roman"/>
        </w:rPr>
        <w:t>s.</w:t>
      </w:r>
    </w:p>
    <w:p w14:paraId="54615F0A" w14:textId="503A4315" w:rsidR="007567A6" w:rsidRPr="00DF22AA" w:rsidRDefault="003E0637" w:rsidP="000F5C6F">
      <w:pPr>
        <w:pStyle w:val="Heading3"/>
        <w:spacing w:line="240" w:lineRule="auto"/>
        <w:jc w:val="both"/>
        <w:rPr>
          <w:rFonts w:ascii="Helvetica" w:hAnsi="Helvetica" w:cs="Times New Roman"/>
          <w:i w:val="0"/>
          <w:iCs w:val="0"/>
          <w:sz w:val="24"/>
          <w:szCs w:val="24"/>
        </w:rPr>
      </w:pPr>
      <w:r w:rsidRPr="00DF22AA">
        <w:rPr>
          <w:rFonts w:ascii="Helvetica" w:hAnsi="Helvetica" w:cs="Times New Roman"/>
          <w:i w:val="0"/>
          <w:iCs w:val="0"/>
          <w:sz w:val="24"/>
          <w:szCs w:val="24"/>
        </w:rPr>
        <w:t>Collapse of Teacher Professional Associations</w:t>
      </w:r>
    </w:p>
    <w:p w14:paraId="10CC2FAB" w14:textId="77777777" w:rsidR="004E1507" w:rsidRPr="000F5C6F" w:rsidRDefault="004E1507" w:rsidP="004E1507">
      <w:pPr>
        <w:spacing w:before="120" w:after="240" w:line="240" w:lineRule="auto"/>
        <w:jc w:val="both"/>
        <w:rPr>
          <w:rFonts w:ascii="Times New Roman" w:hAnsi="Times New Roman" w:cs="Times New Roman"/>
        </w:rPr>
      </w:pPr>
      <w:bookmarkStart w:id="7" w:name="_1t9oafbjfqo" w:colFirst="0" w:colLast="0"/>
      <w:bookmarkEnd w:id="7"/>
      <w:r w:rsidRPr="000F5C6F">
        <w:rPr>
          <w:rFonts w:ascii="Times New Roman" w:hAnsi="Times New Roman" w:cs="Times New Roman"/>
        </w:rPr>
        <w:t>ITE has traditionally utilised teacher professional networks, associations and conferences to coordinate and sustain ITE technologies education initiatives, but since the late 1990s there has been an increasing disengagement by teachers from professional associations, a trend that can be linked to several systemic factors in education. Studies have highlighted that growing administrative burdens and intensification of teacher workloads have contributed to feelings of burnout and time constraints, making it difficult for teachers to engage with external bodies such as professional associations (Ballet &amp; Kelchtermans, 2009). Additionally, the rise of in-school professional development and compliance-driven models has shifted the focus away from broader, external professional networks (Mockler &amp; Groundwater-Smith, 2015). Neoliberal educational reforms have also played a role, emphasising performance and accountability over traditional forms of professional collaboration, further discouraging teachers from participating in activities outside of their immediate workplace (Sachs, 2003). These trends have reduced the professional landscape of teaching and reduced teachers’ engagement with professional associations.</w:t>
      </w:r>
    </w:p>
    <w:p w14:paraId="18C8159A" w14:textId="1C99FD65" w:rsidR="007567A6" w:rsidRPr="00DF22AA" w:rsidRDefault="003E0637" w:rsidP="00DF22AA">
      <w:pPr>
        <w:pStyle w:val="Heading3"/>
        <w:spacing w:after="0" w:line="240" w:lineRule="auto"/>
        <w:jc w:val="both"/>
        <w:rPr>
          <w:rFonts w:ascii="Helvetica" w:hAnsi="Helvetica" w:cs="Times New Roman"/>
          <w:i w:val="0"/>
          <w:iCs w:val="0"/>
          <w:sz w:val="24"/>
          <w:szCs w:val="24"/>
        </w:rPr>
      </w:pPr>
      <w:r w:rsidRPr="00DF22AA">
        <w:rPr>
          <w:rFonts w:ascii="Helvetica" w:hAnsi="Helvetica" w:cs="Times New Roman"/>
          <w:i w:val="0"/>
          <w:iCs w:val="0"/>
          <w:sz w:val="24"/>
          <w:szCs w:val="24"/>
        </w:rPr>
        <w:t xml:space="preserve">ITE Technologies </w:t>
      </w:r>
      <w:r w:rsidR="00571FE2" w:rsidRPr="00DF22AA">
        <w:rPr>
          <w:rFonts w:ascii="Helvetica" w:hAnsi="Helvetica" w:cs="Times New Roman"/>
          <w:i w:val="0"/>
          <w:iCs w:val="0"/>
          <w:sz w:val="24"/>
          <w:szCs w:val="24"/>
        </w:rPr>
        <w:t>A</w:t>
      </w:r>
      <w:r w:rsidRPr="00DF22AA">
        <w:rPr>
          <w:rFonts w:ascii="Helvetica" w:hAnsi="Helvetica" w:cs="Times New Roman"/>
          <w:i w:val="0"/>
          <w:iCs w:val="0"/>
          <w:sz w:val="24"/>
          <w:szCs w:val="24"/>
        </w:rPr>
        <w:t xml:space="preserve">cademics </w:t>
      </w:r>
      <w:r w:rsidR="00571FE2" w:rsidRPr="00DF22AA">
        <w:rPr>
          <w:rFonts w:ascii="Helvetica" w:hAnsi="Helvetica" w:cs="Times New Roman"/>
          <w:i w:val="0"/>
          <w:iCs w:val="0"/>
          <w:sz w:val="24"/>
          <w:szCs w:val="24"/>
        </w:rPr>
        <w:t>N</w:t>
      </w:r>
      <w:r w:rsidRPr="00DF22AA">
        <w:rPr>
          <w:rFonts w:ascii="Helvetica" w:hAnsi="Helvetica" w:cs="Times New Roman"/>
          <w:i w:val="0"/>
          <w:iCs w:val="0"/>
          <w:sz w:val="24"/>
          <w:szCs w:val="24"/>
        </w:rPr>
        <w:t xml:space="preserve">etwork </w:t>
      </w:r>
    </w:p>
    <w:p w14:paraId="4EF16B58" w14:textId="77777777" w:rsidR="007567A6" w:rsidRPr="000F5C6F" w:rsidRDefault="007567A6" w:rsidP="000F5C6F">
      <w:pPr>
        <w:spacing w:line="240" w:lineRule="auto"/>
        <w:jc w:val="both"/>
        <w:rPr>
          <w:rFonts w:ascii="Times New Roman" w:hAnsi="Times New Roman" w:cs="Times New Roman"/>
        </w:rPr>
      </w:pPr>
    </w:p>
    <w:p w14:paraId="65E5ABAB" w14:textId="77777777" w:rsidR="004E1507" w:rsidRPr="000F5C6F" w:rsidRDefault="004E1507" w:rsidP="004E1507">
      <w:pPr>
        <w:spacing w:after="120" w:line="240" w:lineRule="auto"/>
        <w:jc w:val="both"/>
        <w:rPr>
          <w:rFonts w:ascii="Times New Roman" w:hAnsi="Times New Roman" w:cs="Times New Roman"/>
        </w:rPr>
      </w:pPr>
      <w:bookmarkStart w:id="8" w:name="_uhynvxn5xlv3" w:colFirst="0" w:colLast="0"/>
      <w:bookmarkEnd w:id="8"/>
      <w:r w:rsidRPr="000F5C6F">
        <w:rPr>
          <w:rFonts w:ascii="Times New Roman" w:hAnsi="Times New Roman" w:cs="Times New Roman"/>
        </w:rPr>
        <w:t>In 2019 the Australian Technologies Teacher Education Network (ATTEN) was established as a network of the Australian Council of Deans of Education (ACDE)</w:t>
      </w:r>
      <w:r>
        <w:rPr>
          <w:rFonts w:ascii="Times New Roman" w:hAnsi="Times New Roman" w:cs="Times New Roman"/>
        </w:rPr>
        <w:t>. The network was created</w:t>
      </w:r>
      <w:r w:rsidRPr="000F5C6F">
        <w:rPr>
          <w:rFonts w:ascii="Times New Roman" w:hAnsi="Times New Roman" w:cs="Times New Roman"/>
        </w:rPr>
        <w:t xml:space="preserve"> to </w:t>
      </w:r>
      <w:r>
        <w:rPr>
          <w:rFonts w:ascii="Times New Roman" w:hAnsi="Times New Roman" w:cs="Times New Roman"/>
        </w:rPr>
        <w:t>support</w:t>
      </w:r>
      <w:r w:rsidRPr="000F5C6F">
        <w:rPr>
          <w:rFonts w:ascii="Times New Roman" w:hAnsi="Times New Roman" w:cs="Times New Roman"/>
        </w:rPr>
        <w:t xml:space="preserve"> teacher educators </w:t>
      </w:r>
      <w:r>
        <w:rPr>
          <w:rFonts w:ascii="Times New Roman" w:hAnsi="Times New Roman" w:cs="Times New Roman"/>
        </w:rPr>
        <w:t>in</w:t>
      </w:r>
      <w:r w:rsidRPr="000F5C6F">
        <w:rPr>
          <w:rFonts w:ascii="Times New Roman" w:hAnsi="Times New Roman" w:cs="Times New Roman"/>
        </w:rPr>
        <w:t xml:space="preserve"> remain</w:t>
      </w:r>
      <w:r>
        <w:rPr>
          <w:rFonts w:ascii="Times New Roman" w:hAnsi="Times New Roman" w:cs="Times New Roman"/>
        </w:rPr>
        <w:t>ing</w:t>
      </w:r>
      <w:r w:rsidRPr="000F5C6F">
        <w:rPr>
          <w:rFonts w:ascii="Times New Roman" w:hAnsi="Times New Roman" w:cs="Times New Roman"/>
        </w:rPr>
        <w:t xml:space="preserve"> current in the Technologies areas, especially as a result of the demands of the implementation of the Australian Curriculum: Technologies, as well as those from industry and government to develop pre-service and in-service teacher capacity and improve the quality of technologies education received by students in Australian schools.</w:t>
      </w:r>
    </w:p>
    <w:p w14:paraId="36F7AD6B" w14:textId="77777777" w:rsidR="004E1507" w:rsidRPr="000F5C6F" w:rsidRDefault="004E1507" w:rsidP="004E1507">
      <w:pPr>
        <w:spacing w:after="240" w:line="240" w:lineRule="auto"/>
        <w:jc w:val="both"/>
        <w:rPr>
          <w:rFonts w:ascii="Times New Roman" w:hAnsi="Times New Roman" w:cs="Times New Roman"/>
        </w:rPr>
      </w:pPr>
      <w:r w:rsidRPr="000F5C6F">
        <w:rPr>
          <w:rFonts w:ascii="Times New Roman" w:hAnsi="Times New Roman" w:cs="Times New Roman"/>
        </w:rPr>
        <w:t>In such a rapidly evolving and high-stakes domain, ATTEN was established to meet the need for Technologies teacher educators from universities across Australia to work together to optimise pre-service teacher preparation in initial teacher education (ITE) program</w:t>
      </w:r>
      <w:r>
        <w:rPr>
          <w:rFonts w:ascii="Times New Roman" w:hAnsi="Times New Roman" w:cs="Times New Roman"/>
        </w:rPr>
        <w:t>me</w:t>
      </w:r>
      <w:r w:rsidRPr="000F5C6F">
        <w:rPr>
          <w:rFonts w:ascii="Times New Roman" w:hAnsi="Times New Roman" w:cs="Times New Roman"/>
        </w:rPr>
        <w:t>s in the Digital Technologies and Design &amp; Technologies areas (ACDE, 2024).</w:t>
      </w:r>
    </w:p>
    <w:p w14:paraId="1A6ED243" w14:textId="174174A2" w:rsidR="007567A6" w:rsidRPr="00DF22AA" w:rsidRDefault="003E0637" w:rsidP="00DF22AA">
      <w:pPr>
        <w:pStyle w:val="Heading3"/>
        <w:spacing w:after="0" w:line="240" w:lineRule="auto"/>
        <w:jc w:val="both"/>
        <w:rPr>
          <w:rFonts w:ascii="Helvetica" w:hAnsi="Helvetica" w:cs="Times New Roman"/>
          <w:i w:val="0"/>
          <w:iCs w:val="0"/>
          <w:sz w:val="24"/>
          <w:szCs w:val="24"/>
        </w:rPr>
      </w:pPr>
      <w:r w:rsidRPr="00DF22AA">
        <w:rPr>
          <w:rFonts w:ascii="Helvetica" w:hAnsi="Helvetica" w:cs="Times New Roman"/>
          <w:i w:val="0"/>
          <w:iCs w:val="0"/>
          <w:sz w:val="24"/>
          <w:szCs w:val="24"/>
        </w:rPr>
        <w:t>Industry Needs and the ITE Pipeline</w:t>
      </w:r>
    </w:p>
    <w:p w14:paraId="5A5A55B0" w14:textId="77777777" w:rsidR="004E1507" w:rsidRPr="000F5C6F" w:rsidRDefault="004E1507" w:rsidP="004E1507">
      <w:pPr>
        <w:spacing w:before="120" w:after="240" w:line="240" w:lineRule="auto"/>
        <w:jc w:val="both"/>
        <w:rPr>
          <w:rFonts w:ascii="Times New Roman" w:hAnsi="Times New Roman" w:cs="Times New Roman"/>
        </w:rPr>
      </w:pPr>
      <w:bookmarkStart w:id="9" w:name="_4csvfs5mr1iz" w:colFirst="0" w:colLast="0"/>
      <w:bookmarkEnd w:id="9"/>
      <w:r w:rsidRPr="000F5C6F">
        <w:rPr>
          <w:rFonts w:ascii="Times New Roman" w:hAnsi="Times New Roman" w:cs="Times New Roman"/>
        </w:rPr>
        <w:t>The Australian technologies industry relies on schools to supply a pipeline of technologically literate students capable of pursuing careers in STEM fields. However, the lack of adequate technologies education in schools is a significant constraint on this pipeline (Zagami, 2022). Industry stakeholders such as the Australian Computer Society (ACS) and Engineers Australia (EA) have expressed concern that insufficient teacher preparation in technologies education not only limits the number of students entering STEM disciplines but also reduces the quality of technologies instruction in schools, leading to long-term skills shortages in key industries (</w:t>
      </w:r>
      <w:r w:rsidRPr="000F5C6F">
        <w:rPr>
          <w:rFonts w:ascii="Times New Roman" w:hAnsi="Times New Roman" w:cs="Times New Roman"/>
          <w:color w:val="222222"/>
          <w:highlight w:val="white"/>
        </w:rPr>
        <w:t>Nguyen &amp; Pudlowski, 2007)</w:t>
      </w:r>
      <w:r w:rsidRPr="000F5C6F">
        <w:rPr>
          <w:rFonts w:ascii="Times New Roman" w:hAnsi="Times New Roman" w:cs="Times New Roman"/>
        </w:rPr>
        <w:t>.</w:t>
      </w:r>
    </w:p>
    <w:p w14:paraId="56962497" w14:textId="77777777" w:rsidR="004E1507" w:rsidRPr="000F5C6F" w:rsidRDefault="004E1507" w:rsidP="004E1507">
      <w:pPr>
        <w:spacing w:before="240" w:after="480" w:line="240" w:lineRule="auto"/>
        <w:jc w:val="both"/>
        <w:rPr>
          <w:rFonts w:ascii="Times New Roman" w:hAnsi="Times New Roman" w:cs="Times New Roman"/>
        </w:rPr>
      </w:pPr>
      <w:r w:rsidRPr="000F5C6F">
        <w:rPr>
          <w:rFonts w:ascii="Times New Roman" w:hAnsi="Times New Roman" w:cs="Times New Roman"/>
        </w:rPr>
        <w:lastRenderedPageBreak/>
        <w:t>The limited availability of pathways in ITE program</w:t>
      </w:r>
      <w:r>
        <w:rPr>
          <w:rFonts w:ascii="Times New Roman" w:hAnsi="Times New Roman" w:cs="Times New Roman"/>
        </w:rPr>
        <w:t>me</w:t>
      </w:r>
      <w:r w:rsidRPr="000F5C6F">
        <w:rPr>
          <w:rFonts w:ascii="Times New Roman" w:hAnsi="Times New Roman" w:cs="Times New Roman"/>
        </w:rPr>
        <w:t>s to specialise in computer science, engineering, industrial technologies, and related fields is a significant factor contributing to this problem. While this study shows that 92% of universities offer some form of technology education, significant gaps remain, particularly in the distribution of opportunities and in states where technology education is less of a priority.</w:t>
      </w:r>
    </w:p>
    <w:p w14:paraId="445A6A44" w14:textId="4C3B0861" w:rsidR="007567A6" w:rsidRPr="00DF22AA" w:rsidRDefault="003E0637" w:rsidP="00DF22AA">
      <w:pPr>
        <w:spacing w:after="240" w:line="259" w:lineRule="auto"/>
        <w:rPr>
          <w:rFonts w:ascii="Helvetica" w:eastAsiaTheme="minorHAnsi" w:hAnsi="Helvetica" w:cstheme="minorBidi"/>
          <w:b/>
          <w:bCs/>
          <w:kern w:val="2"/>
          <w:sz w:val="28"/>
          <w:szCs w:val="28"/>
          <w:lang w:val="en-AU" w:eastAsia="en-US"/>
          <w14:ligatures w14:val="standardContextual"/>
        </w:rPr>
      </w:pPr>
      <w:r w:rsidRPr="00DF22AA">
        <w:rPr>
          <w:rFonts w:ascii="Helvetica" w:eastAsiaTheme="minorHAnsi" w:hAnsi="Helvetica" w:cstheme="minorBidi"/>
          <w:b/>
          <w:bCs/>
          <w:kern w:val="2"/>
          <w:sz w:val="28"/>
          <w:szCs w:val="28"/>
          <w:lang w:val="en-AU" w:eastAsia="en-US"/>
          <w14:ligatures w14:val="standardContextual"/>
        </w:rPr>
        <w:t>Methodology</w:t>
      </w:r>
    </w:p>
    <w:p w14:paraId="5BAB9276" w14:textId="777F5027" w:rsidR="007567A6" w:rsidRPr="00DF22AA" w:rsidRDefault="003E0637" w:rsidP="00DF22AA">
      <w:pPr>
        <w:pStyle w:val="Heading3"/>
        <w:spacing w:after="0" w:line="240" w:lineRule="auto"/>
        <w:jc w:val="both"/>
        <w:rPr>
          <w:rFonts w:ascii="Helvetica" w:hAnsi="Helvetica" w:cs="Times New Roman"/>
          <w:i w:val="0"/>
          <w:iCs w:val="0"/>
          <w:sz w:val="24"/>
          <w:szCs w:val="24"/>
        </w:rPr>
      </w:pPr>
      <w:bookmarkStart w:id="10" w:name="_us2quyfc5l90" w:colFirst="0" w:colLast="0"/>
      <w:bookmarkEnd w:id="10"/>
      <w:r w:rsidRPr="00DF22AA">
        <w:rPr>
          <w:rFonts w:ascii="Helvetica" w:hAnsi="Helvetica" w:cs="Times New Roman"/>
          <w:i w:val="0"/>
          <w:iCs w:val="0"/>
          <w:sz w:val="24"/>
          <w:szCs w:val="24"/>
        </w:rPr>
        <w:t>Research Design</w:t>
      </w:r>
    </w:p>
    <w:p w14:paraId="361C1C5E" w14:textId="77777777" w:rsidR="004E1507" w:rsidRPr="000F5C6F" w:rsidRDefault="004E1507" w:rsidP="004E1507">
      <w:pPr>
        <w:spacing w:before="120" w:after="240" w:line="240" w:lineRule="auto"/>
        <w:jc w:val="both"/>
        <w:rPr>
          <w:rFonts w:ascii="Times New Roman" w:hAnsi="Times New Roman" w:cs="Times New Roman"/>
        </w:rPr>
      </w:pPr>
      <w:bookmarkStart w:id="11" w:name="_39i3pbxxewre" w:colFirst="0" w:colLast="0"/>
      <w:bookmarkEnd w:id="11"/>
      <w:r w:rsidRPr="000F5C6F">
        <w:rPr>
          <w:rFonts w:ascii="Times New Roman" w:hAnsi="Times New Roman" w:cs="Times New Roman"/>
        </w:rPr>
        <w:t>This study employs a qualitative document analysis methodology to examine the program</w:t>
      </w:r>
      <w:r>
        <w:rPr>
          <w:rFonts w:ascii="Times New Roman" w:hAnsi="Times New Roman" w:cs="Times New Roman"/>
        </w:rPr>
        <w:t>me</w:t>
      </w:r>
      <w:r w:rsidRPr="000F5C6F">
        <w:rPr>
          <w:rFonts w:ascii="Times New Roman" w:hAnsi="Times New Roman" w:cs="Times New Roman"/>
        </w:rPr>
        <w:t xml:space="preserve"> structure and course profiles of Initial Teacher Education (ITE) program</w:t>
      </w:r>
      <w:r>
        <w:rPr>
          <w:rFonts w:ascii="Times New Roman" w:hAnsi="Times New Roman" w:cs="Times New Roman"/>
        </w:rPr>
        <w:t>me</w:t>
      </w:r>
      <w:r w:rsidRPr="000F5C6F">
        <w:rPr>
          <w:rFonts w:ascii="Times New Roman" w:hAnsi="Times New Roman" w:cs="Times New Roman"/>
        </w:rPr>
        <w:t>s from 41 Australian universities. The primary aim was to assess the extent to which these program</w:t>
      </w:r>
      <w:r>
        <w:rPr>
          <w:rFonts w:ascii="Times New Roman" w:hAnsi="Times New Roman" w:cs="Times New Roman"/>
        </w:rPr>
        <w:t>me</w:t>
      </w:r>
      <w:r w:rsidRPr="000F5C6F">
        <w:rPr>
          <w:rFonts w:ascii="Times New Roman" w:hAnsi="Times New Roman" w:cs="Times New Roman"/>
        </w:rPr>
        <w:t>s prepare pre-service teachers to teach the Technologies learning area and technologies</w:t>
      </w:r>
      <w:r>
        <w:rPr>
          <w:rFonts w:ascii="Times New Roman" w:hAnsi="Times New Roman" w:cs="Times New Roman"/>
        </w:rPr>
        <w:t>-</w:t>
      </w:r>
      <w:r w:rsidRPr="000F5C6F">
        <w:rPr>
          <w:rFonts w:ascii="Times New Roman" w:hAnsi="Times New Roman" w:cs="Times New Roman"/>
        </w:rPr>
        <w:t xml:space="preserve">related senior secondary teaching areas. In relying upon documentation detailing course offerings and learning outcomes, the study aimed to avoid the bias of self-reported survey responses. </w:t>
      </w:r>
    </w:p>
    <w:p w14:paraId="10B83260" w14:textId="6E6EA47E" w:rsidR="007567A6" w:rsidRPr="00DF22AA" w:rsidRDefault="003E0637" w:rsidP="00DF22AA">
      <w:pPr>
        <w:pStyle w:val="Heading3"/>
        <w:spacing w:after="0" w:line="240" w:lineRule="auto"/>
        <w:jc w:val="both"/>
        <w:rPr>
          <w:rFonts w:ascii="Helvetica" w:hAnsi="Helvetica" w:cs="Times New Roman"/>
          <w:i w:val="0"/>
          <w:iCs w:val="0"/>
          <w:sz w:val="24"/>
          <w:szCs w:val="24"/>
        </w:rPr>
      </w:pPr>
      <w:r w:rsidRPr="00DF22AA">
        <w:rPr>
          <w:rFonts w:ascii="Helvetica" w:hAnsi="Helvetica" w:cs="Times New Roman"/>
          <w:i w:val="0"/>
          <w:iCs w:val="0"/>
          <w:sz w:val="24"/>
          <w:szCs w:val="24"/>
        </w:rPr>
        <w:t>Data Sources</w:t>
      </w:r>
    </w:p>
    <w:p w14:paraId="05715256" w14:textId="77777777" w:rsidR="007567A6" w:rsidRPr="000F5C6F" w:rsidRDefault="003E0637" w:rsidP="00DF22AA">
      <w:pPr>
        <w:spacing w:before="120" w:after="240" w:line="240" w:lineRule="auto"/>
        <w:jc w:val="both"/>
        <w:rPr>
          <w:rFonts w:ascii="Times New Roman" w:hAnsi="Times New Roman" w:cs="Times New Roman"/>
        </w:rPr>
      </w:pPr>
      <w:r w:rsidRPr="000F5C6F">
        <w:rPr>
          <w:rFonts w:ascii="Times New Roman" w:hAnsi="Times New Roman" w:cs="Times New Roman"/>
        </w:rPr>
        <w:t>The data for this study was collected from the official websites and course handbooks of 41 Australian universities. The documents reviewed include:</w:t>
      </w:r>
    </w:p>
    <w:p w14:paraId="63EC202E" w14:textId="77777777" w:rsidR="004E1507" w:rsidRPr="000F5C6F" w:rsidRDefault="004E1507" w:rsidP="004E1507">
      <w:pPr>
        <w:numPr>
          <w:ilvl w:val="0"/>
          <w:numId w:val="1"/>
        </w:numPr>
        <w:spacing w:before="240" w:line="240" w:lineRule="auto"/>
        <w:jc w:val="both"/>
        <w:rPr>
          <w:rFonts w:ascii="Times New Roman" w:hAnsi="Times New Roman" w:cs="Times New Roman"/>
        </w:rPr>
      </w:pPr>
      <w:r w:rsidRPr="000F5C6F">
        <w:rPr>
          <w:rFonts w:ascii="Times New Roman" w:hAnsi="Times New Roman" w:cs="Times New Roman"/>
        </w:rPr>
        <w:t>Course profiles for both primary and secondary ITE program</w:t>
      </w:r>
      <w:r>
        <w:rPr>
          <w:rFonts w:ascii="Times New Roman" w:hAnsi="Times New Roman" w:cs="Times New Roman"/>
        </w:rPr>
        <w:t>me</w:t>
      </w:r>
      <w:r w:rsidRPr="000F5C6F">
        <w:rPr>
          <w:rFonts w:ascii="Times New Roman" w:hAnsi="Times New Roman" w:cs="Times New Roman"/>
        </w:rPr>
        <w:t>s.</w:t>
      </w:r>
    </w:p>
    <w:p w14:paraId="749B6969" w14:textId="77777777" w:rsidR="004E1507" w:rsidRPr="000F5C6F" w:rsidRDefault="004E1507" w:rsidP="004E1507">
      <w:pPr>
        <w:numPr>
          <w:ilvl w:val="0"/>
          <w:numId w:val="1"/>
        </w:numPr>
        <w:spacing w:line="240" w:lineRule="auto"/>
        <w:jc w:val="both"/>
        <w:rPr>
          <w:rFonts w:ascii="Times New Roman" w:hAnsi="Times New Roman" w:cs="Times New Roman"/>
        </w:rPr>
      </w:pPr>
      <w:r w:rsidRPr="000F5C6F">
        <w:rPr>
          <w:rFonts w:ascii="Times New Roman" w:hAnsi="Times New Roman" w:cs="Times New Roman"/>
        </w:rPr>
        <w:t>Program</w:t>
      </w:r>
      <w:r>
        <w:rPr>
          <w:rFonts w:ascii="Times New Roman" w:hAnsi="Times New Roman" w:cs="Times New Roman"/>
        </w:rPr>
        <w:t>me</w:t>
      </w:r>
      <w:r w:rsidRPr="000F5C6F">
        <w:rPr>
          <w:rFonts w:ascii="Times New Roman" w:hAnsi="Times New Roman" w:cs="Times New Roman"/>
        </w:rPr>
        <w:t xml:space="preserve"> handbooks that outline the structure, content, and learning outcomes of ITE courses.</w:t>
      </w:r>
    </w:p>
    <w:p w14:paraId="0927E625" w14:textId="77777777" w:rsidR="004E1507" w:rsidRPr="000F5C6F" w:rsidRDefault="004E1507" w:rsidP="004E1507">
      <w:pPr>
        <w:numPr>
          <w:ilvl w:val="0"/>
          <w:numId w:val="1"/>
        </w:numPr>
        <w:spacing w:after="240" w:line="240" w:lineRule="auto"/>
        <w:jc w:val="both"/>
        <w:rPr>
          <w:rFonts w:ascii="Times New Roman" w:hAnsi="Times New Roman" w:cs="Times New Roman"/>
        </w:rPr>
      </w:pPr>
      <w:r w:rsidRPr="000F5C6F">
        <w:rPr>
          <w:rFonts w:ascii="Times New Roman" w:hAnsi="Times New Roman" w:cs="Times New Roman"/>
        </w:rPr>
        <w:t>Unit descriptions for specific technologies-related subjects.</w:t>
      </w:r>
    </w:p>
    <w:p w14:paraId="01B7F6BD" w14:textId="46E696B5" w:rsidR="007567A6" w:rsidRPr="000F5C6F" w:rsidRDefault="003E0637" w:rsidP="000F5C6F">
      <w:pPr>
        <w:spacing w:before="240" w:after="240" w:line="240" w:lineRule="auto"/>
        <w:jc w:val="both"/>
        <w:rPr>
          <w:rFonts w:ascii="Times New Roman" w:hAnsi="Times New Roman" w:cs="Times New Roman"/>
        </w:rPr>
      </w:pPr>
      <w:r w:rsidRPr="000F5C6F">
        <w:rPr>
          <w:rFonts w:ascii="Times New Roman" w:hAnsi="Times New Roman" w:cs="Times New Roman"/>
        </w:rPr>
        <w:t>The sample includes all Australian universities that offer ITE program</w:t>
      </w:r>
      <w:r w:rsidR="004E1507">
        <w:rPr>
          <w:rFonts w:ascii="Times New Roman" w:hAnsi="Times New Roman" w:cs="Times New Roman"/>
        </w:rPr>
        <w:t>me</w:t>
      </w:r>
      <w:r w:rsidRPr="000F5C6F">
        <w:rPr>
          <w:rFonts w:ascii="Times New Roman" w:hAnsi="Times New Roman" w:cs="Times New Roman"/>
        </w:rPr>
        <w:t>s.</w:t>
      </w:r>
    </w:p>
    <w:p w14:paraId="098159E0" w14:textId="4CF63B3A" w:rsidR="007567A6" w:rsidRPr="00DF22AA" w:rsidRDefault="003E0637" w:rsidP="00DF22AA">
      <w:pPr>
        <w:pStyle w:val="Heading3"/>
        <w:spacing w:after="0" w:line="240" w:lineRule="auto"/>
        <w:jc w:val="both"/>
        <w:rPr>
          <w:rFonts w:ascii="Helvetica" w:hAnsi="Helvetica" w:cs="Times New Roman"/>
          <w:i w:val="0"/>
          <w:iCs w:val="0"/>
          <w:sz w:val="24"/>
          <w:szCs w:val="24"/>
        </w:rPr>
      </w:pPr>
      <w:bookmarkStart w:id="12" w:name="_5a51wdka9724" w:colFirst="0" w:colLast="0"/>
      <w:bookmarkEnd w:id="12"/>
      <w:r w:rsidRPr="00DF22AA">
        <w:rPr>
          <w:rFonts w:ascii="Helvetica" w:hAnsi="Helvetica" w:cs="Times New Roman"/>
          <w:i w:val="0"/>
          <w:iCs w:val="0"/>
          <w:sz w:val="24"/>
          <w:szCs w:val="24"/>
        </w:rPr>
        <w:t>Analytical Framework</w:t>
      </w:r>
    </w:p>
    <w:p w14:paraId="30026752" w14:textId="77777777" w:rsidR="004E1507" w:rsidRPr="000F5C6F" w:rsidRDefault="004E1507" w:rsidP="004E1507">
      <w:pPr>
        <w:spacing w:before="120" w:after="240" w:line="240" w:lineRule="auto"/>
        <w:jc w:val="both"/>
        <w:rPr>
          <w:rFonts w:ascii="Times New Roman" w:hAnsi="Times New Roman" w:cs="Times New Roman"/>
        </w:rPr>
      </w:pPr>
      <w:bookmarkStart w:id="13" w:name="_vyfubt9t4wpw" w:colFirst="0" w:colLast="0"/>
      <w:bookmarkEnd w:id="13"/>
      <w:r w:rsidRPr="000F5C6F">
        <w:rPr>
          <w:rFonts w:ascii="Times New Roman" w:hAnsi="Times New Roman" w:cs="Times New Roman"/>
        </w:rPr>
        <w:t>The analysis was guided by an analytical framework based on the components of the Australian Curriculum: Technologies and AITSL standards. The following themes were used to code the data:</w:t>
      </w:r>
    </w:p>
    <w:p w14:paraId="67427454" w14:textId="77777777" w:rsidR="004E1507" w:rsidRPr="000F5C6F" w:rsidRDefault="004E1507" w:rsidP="004E1507">
      <w:pPr>
        <w:numPr>
          <w:ilvl w:val="0"/>
          <w:numId w:val="2"/>
        </w:numPr>
        <w:spacing w:before="240" w:line="240" w:lineRule="auto"/>
        <w:jc w:val="both"/>
        <w:rPr>
          <w:rFonts w:ascii="Times New Roman" w:hAnsi="Times New Roman" w:cs="Times New Roman"/>
        </w:rPr>
      </w:pPr>
      <w:r w:rsidRPr="000F5C6F">
        <w:rPr>
          <w:rFonts w:ascii="Times New Roman" w:hAnsi="Times New Roman" w:cs="Times New Roman"/>
        </w:rPr>
        <w:t>Coverage of Design and Technologies: The extent to which ITE program</w:t>
      </w:r>
      <w:r>
        <w:rPr>
          <w:rFonts w:ascii="Times New Roman" w:hAnsi="Times New Roman" w:cs="Times New Roman"/>
        </w:rPr>
        <w:t>me</w:t>
      </w:r>
      <w:r w:rsidRPr="000F5C6F">
        <w:rPr>
          <w:rFonts w:ascii="Times New Roman" w:hAnsi="Times New Roman" w:cs="Times New Roman"/>
        </w:rPr>
        <w:t>s include units on the Design and Technologies curriculum.</w:t>
      </w:r>
    </w:p>
    <w:p w14:paraId="7B75958D" w14:textId="77777777" w:rsidR="004E1507" w:rsidRPr="000F5C6F" w:rsidRDefault="004E1507" w:rsidP="004E1507">
      <w:pPr>
        <w:numPr>
          <w:ilvl w:val="0"/>
          <w:numId w:val="2"/>
        </w:numPr>
        <w:spacing w:line="240" w:lineRule="auto"/>
        <w:jc w:val="both"/>
        <w:rPr>
          <w:rFonts w:ascii="Times New Roman" w:hAnsi="Times New Roman" w:cs="Times New Roman"/>
        </w:rPr>
      </w:pPr>
      <w:r w:rsidRPr="000F5C6F">
        <w:rPr>
          <w:rFonts w:ascii="Times New Roman" w:hAnsi="Times New Roman" w:cs="Times New Roman"/>
        </w:rPr>
        <w:t>Coverage of Digital Technologies: The extent to which ITE program</w:t>
      </w:r>
      <w:r>
        <w:rPr>
          <w:rFonts w:ascii="Times New Roman" w:hAnsi="Times New Roman" w:cs="Times New Roman"/>
        </w:rPr>
        <w:t>me</w:t>
      </w:r>
      <w:r w:rsidRPr="000F5C6F">
        <w:rPr>
          <w:rFonts w:ascii="Times New Roman" w:hAnsi="Times New Roman" w:cs="Times New Roman"/>
        </w:rPr>
        <w:t>s include units on the Digital Technologies curriculum.</w:t>
      </w:r>
    </w:p>
    <w:p w14:paraId="68F736A9" w14:textId="77777777" w:rsidR="004E1507" w:rsidRPr="000F5C6F" w:rsidRDefault="004E1507" w:rsidP="004E1507">
      <w:pPr>
        <w:numPr>
          <w:ilvl w:val="0"/>
          <w:numId w:val="2"/>
        </w:numPr>
        <w:spacing w:line="240" w:lineRule="auto"/>
        <w:jc w:val="both"/>
        <w:rPr>
          <w:rFonts w:ascii="Times New Roman" w:hAnsi="Times New Roman" w:cs="Times New Roman"/>
        </w:rPr>
      </w:pPr>
      <w:r w:rsidRPr="000F5C6F">
        <w:rPr>
          <w:rFonts w:ascii="Times New Roman" w:hAnsi="Times New Roman" w:cs="Times New Roman"/>
        </w:rPr>
        <w:t>ICT and Digital Literacy: The inclusion of units specifically focused on general ICT skills, digital literacy, and technology integration into teaching practices.</w:t>
      </w:r>
    </w:p>
    <w:p w14:paraId="6EF8D592" w14:textId="77777777" w:rsidR="004E1507" w:rsidRPr="000F5C6F" w:rsidRDefault="004E1507" w:rsidP="004E1507">
      <w:pPr>
        <w:numPr>
          <w:ilvl w:val="0"/>
          <w:numId w:val="2"/>
        </w:numPr>
        <w:spacing w:line="240" w:lineRule="auto"/>
        <w:jc w:val="both"/>
        <w:rPr>
          <w:rFonts w:ascii="Times New Roman" w:hAnsi="Times New Roman" w:cs="Times New Roman"/>
        </w:rPr>
      </w:pPr>
      <w:r w:rsidRPr="000F5C6F">
        <w:rPr>
          <w:rFonts w:ascii="Times New Roman" w:hAnsi="Times New Roman" w:cs="Times New Roman"/>
        </w:rPr>
        <w:t>State and Territory Variations: Differences in the content and structure of ITE program</w:t>
      </w:r>
      <w:r>
        <w:rPr>
          <w:rFonts w:ascii="Times New Roman" w:hAnsi="Times New Roman" w:cs="Times New Roman"/>
        </w:rPr>
        <w:t>me</w:t>
      </w:r>
      <w:r w:rsidRPr="000F5C6F">
        <w:rPr>
          <w:rFonts w:ascii="Times New Roman" w:hAnsi="Times New Roman" w:cs="Times New Roman"/>
        </w:rPr>
        <w:t>s across Australian states and territories.</w:t>
      </w:r>
    </w:p>
    <w:p w14:paraId="5B263C9F" w14:textId="77777777" w:rsidR="004E1507" w:rsidRPr="000F5C6F" w:rsidRDefault="004E1507" w:rsidP="004E1507">
      <w:pPr>
        <w:numPr>
          <w:ilvl w:val="0"/>
          <w:numId w:val="2"/>
        </w:numPr>
        <w:spacing w:after="240" w:line="240" w:lineRule="auto"/>
        <w:jc w:val="both"/>
        <w:rPr>
          <w:rFonts w:ascii="Times New Roman" w:hAnsi="Times New Roman" w:cs="Times New Roman"/>
        </w:rPr>
      </w:pPr>
      <w:r w:rsidRPr="000F5C6F">
        <w:rPr>
          <w:rFonts w:ascii="Times New Roman" w:hAnsi="Times New Roman" w:cs="Times New Roman"/>
        </w:rPr>
        <w:t>Specialisation Pathways: Opportunities for pre-service teachers to specialise in teaching technologies subjects at the senior secondary level.</w:t>
      </w:r>
    </w:p>
    <w:p w14:paraId="19EB8566" w14:textId="77777777" w:rsidR="004E1507" w:rsidRDefault="004E1507">
      <w:pPr>
        <w:rPr>
          <w:rFonts w:ascii="Helvetica" w:eastAsia="Trebuchet MS" w:hAnsi="Helvetica" w:cs="Times New Roman"/>
          <w:b/>
          <w:sz w:val="24"/>
          <w:szCs w:val="24"/>
        </w:rPr>
      </w:pPr>
      <w:r>
        <w:rPr>
          <w:rFonts w:ascii="Helvetica" w:hAnsi="Helvetica" w:cs="Times New Roman"/>
          <w:i/>
          <w:iCs/>
          <w:sz w:val="24"/>
          <w:szCs w:val="24"/>
        </w:rPr>
        <w:br w:type="page"/>
      </w:r>
    </w:p>
    <w:p w14:paraId="17A9C9F7" w14:textId="372ECFED" w:rsidR="007567A6" w:rsidRPr="00DF22AA" w:rsidRDefault="003E0637" w:rsidP="00DF22AA">
      <w:pPr>
        <w:pStyle w:val="Heading3"/>
        <w:spacing w:after="0" w:line="240" w:lineRule="auto"/>
        <w:jc w:val="both"/>
        <w:rPr>
          <w:rFonts w:ascii="Helvetica" w:hAnsi="Helvetica" w:cs="Times New Roman"/>
          <w:i w:val="0"/>
          <w:iCs w:val="0"/>
          <w:sz w:val="24"/>
          <w:szCs w:val="24"/>
        </w:rPr>
      </w:pPr>
      <w:r w:rsidRPr="00DF22AA">
        <w:rPr>
          <w:rFonts w:ascii="Helvetica" w:hAnsi="Helvetica" w:cs="Times New Roman"/>
          <w:i w:val="0"/>
          <w:iCs w:val="0"/>
          <w:sz w:val="24"/>
          <w:szCs w:val="24"/>
        </w:rPr>
        <w:lastRenderedPageBreak/>
        <w:t>Data Analysis Procedure</w:t>
      </w:r>
    </w:p>
    <w:p w14:paraId="67B5CA71" w14:textId="77777777" w:rsidR="007567A6" w:rsidRPr="000F5C6F" w:rsidRDefault="003E0637" w:rsidP="00DF22AA">
      <w:pPr>
        <w:spacing w:before="120" w:after="240" w:line="240" w:lineRule="auto"/>
        <w:jc w:val="both"/>
        <w:rPr>
          <w:rFonts w:ascii="Times New Roman" w:hAnsi="Times New Roman" w:cs="Times New Roman"/>
        </w:rPr>
      </w:pPr>
      <w:r w:rsidRPr="000F5C6F">
        <w:rPr>
          <w:rFonts w:ascii="Times New Roman" w:hAnsi="Times New Roman" w:cs="Times New Roman"/>
        </w:rPr>
        <w:t>Once the data was collected, the following steps were followed:</w:t>
      </w:r>
    </w:p>
    <w:p w14:paraId="70BCDFB6" w14:textId="77777777" w:rsidR="004E1507" w:rsidRPr="000F5C6F" w:rsidRDefault="004E1507" w:rsidP="004E1507">
      <w:pPr>
        <w:numPr>
          <w:ilvl w:val="0"/>
          <w:numId w:val="6"/>
        </w:numPr>
        <w:spacing w:before="240" w:line="240" w:lineRule="auto"/>
        <w:jc w:val="both"/>
        <w:rPr>
          <w:rFonts w:ascii="Times New Roman" w:hAnsi="Times New Roman" w:cs="Times New Roman"/>
        </w:rPr>
      </w:pPr>
      <w:bookmarkStart w:id="14" w:name="_weralp62cb5s" w:colFirst="0" w:colLast="0"/>
      <w:bookmarkEnd w:id="14"/>
      <w:r w:rsidRPr="000F5C6F">
        <w:rPr>
          <w:rFonts w:ascii="Times New Roman" w:hAnsi="Times New Roman" w:cs="Times New Roman"/>
        </w:rPr>
        <w:t>Document Familiarisation: The course profiles and handbooks were thoroughly reviewed to identify relevant information on technologies education.</w:t>
      </w:r>
    </w:p>
    <w:p w14:paraId="18DF3624" w14:textId="77777777" w:rsidR="004E1507" w:rsidRPr="000F5C6F" w:rsidRDefault="004E1507" w:rsidP="004E1507">
      <w:pPr>
        <w:numPr>
          <w:ilvl w:val="0"/>
          <w:numId w:val="6"/>
        </w:numPr>
        <w:spacing w:line="240" w:lineRule="auto"/>
        <w:jc w:val="both"/>
        <w:rPr>
          <w:rFonts w:ascii="Times New Roman" w:hAnsi="Times New Roman" w:cs="Times New Roman"/>
        </w:rPr>
      </w:pPr>
      <w:r w:rsidRPr="000F5C6F">
        <w:rPr>
          <w:rFonts w:ascii="Times New Roman" w:hAnsi="Times New Roman" w:cs="Times New Roman"/>
        </w:rPr>
        <w:t xml:space="preserve">Thematic Coding: Using the analytical framework, the data was coded to categorise the coverage of </w:t>
      </w:r>
      <w:r w:rsidRPr="000F5C6F">
        <w:rPr>
          <w:rFonts w:ascii="Times New Roman" w:hAnsi="Times New Roman" w:cs="Times New Roman"/>
          <w:i/>
        </w:rPr>
        <w:t>Design and Technologies</w:t>
      </w:r>
      <w:r w:rsidRPr="000F5C6F">
        <w:rPr>
          <w:rFonts w:ascii="Times New Roman" w:hAnsi="Times New Roman" w:cs="Times New Roman"/>
        </w:rPr>
        <w:t xml:space="preserve">, </w:t>
      </w:r>
      <w:r w:rsidRPr="000F5C6F">
        <w:rPr>
          <w:rFonts w:ascii="Times New Roman" w:hAnsi="Times New Roman" w:cs="Times New Roman"/>
          <w:i/>
        </w:rPr>
        <w:t>Digital Technologies</w:t>
      </w:r>
      <w:r w:rsidRPr="000F5C6F">
        <w:rPr>
          <w:rFonts w:ascii="Times New Roman" w:hAnsi="Times New Roman" w:cs="Times New Roman"/>
        </w:rPr>
        <w:t>, ICT/DL, and other themes.</w:t>
      </w:r>
    </w:p>
    <w:p w14:paraId="462CC1A5" w14:textId="77777777" w:rsidR="004E1507" w:rsidRPr="000F5C6F" w:rsidRDefault="004E1507" w:rsidP="004E1507">
      <w:pPr>
        <w:numPr>
          <w:ilvl w:val="0"/>
          <w:numId w:val="6"/>
        </w:numPr>
        <w:spacing w:after="120" w:line="240" w:lineRule="auto"/>
        <w:jc w:val="both"/>
        <w:rPr>
          <w:rFonts w:ascii="Times New Roman" w:hAnsi="Times New Roman" w:cs="Times New Roman"/>
        </w:rPr>
      </w:pPr>
      <w:r w:rsidRPr="000F5C6F">
        <w:rPr>
          <w:rFonts w:ascii="Times New Roman" w:hAnsi="Times New Roman" w:cs="Times New Roman"/>
        </w:rPr>
        <w:t>Comparison and Synthesis: The coded data was synthesised to identify patterns, gaps, and variations across universities and states. Special attention was given to the absence or presence of technologies education pathways in both primary and secondary program</w:t>
      </w:r>
      <w:r>
        <w:rPr>
          <w:rFonts w:ascii="Times New Roman" w:hAnsi="Times New Roman" w:cs="Times New Roman"/>
        </w:rPr>
        <w:t>me</w:t>
      </w:r>
      <w:r w:rsidRPr="000F5C6F">
        <w:rPr>
          <w:rFonts w:ascii="Times New Roman" w:hAnsi="Times New Roman" w:cs="Times New Roman"/>
        </w:rPr>
        <w:t>s.</w:t>
      </w:r>
    </w:p>
    <w:p w14:paraId="3E0DA41E" w14:textId="77777777" w:rsidR="004E1507" w:rsidRPr="000F5C6F" w:rsidRDefault="004E1507" w:rsidP="004E1507">
      <w:pPr>
        <w:spacing w:before="120" w:after="240" w:line="240" w:lineRule="auto"/>
        <w:jc w:val="both"/>
        <w:rPr>
          <w:rFonts w:ascii="Times New Roman" w:hAnsi="Times New Roman" w:cs="Times New Roman"/>
        </w:rPr>
      </w:pPr>
      <w:r w:rsidRPr="000F5C6F">
        <w:rPr>
          <w:rFonts w:ascii="Times New Roman" w:hAnsi="Times New Roman" w:cs="Times New Roman"/>
        </w:rPr>
        <w:t>To maintain consistency in scoring, course offerings were used as the primary measure, with fractional scoring. When combined with other elements, e.g., science and technologies, a course would score 0.5 as a technology course.</w:t>
      </w:r>
    </w:p>
    <w:p w14:paraId="73BDC64B" w14:textId="1DD2E030" w:rsidR="007567A6" w:rsidRPr="00DF22AA" w:rsidRDefault="003E0637" w:rsidP="00DF22AA">
      <w:pPr>
        <w:spacing w:before="360" w:after="240" w:line="259" w:lineRule="auto"/>
        <w:rPr>
          <w:rFonts w:ascii="Helvetica" w:eastAsiaTheme="minorHAnsi" w:hAnsi="Helvetica" w:cstheme="minorBidi"/>
          <w:b/>
          <w:bCs/>
          <w:kern w:val="2"/>
          <w:sz w:val="28"/>
          <w:szCs w:val="28"/>
          <w:lang w:val="en-AU" w:eastAsia="en-US"/>
          <w14:ligatures w14:val="standardContextual"/>
        </w:rPr>
      </w:pPr>
      <w:r w:rsidRPr="00DF22AA">
        <w:rPr>
          <w:rFonts w:ascii="Helvetica" w:eastAsiaTheme="minorHAnsi" w:hAnsi="Helvetica" w:cstheme="minorBidi"/>
          <w:b/>
          <w:bCs/>
          <w:kern w:val="2"/>
          <w:sz w:val="28"/>
          <w:szCs w:val="28"/>
          <w:lang w:val="en-AU" w:eastAsia="en-US"/>
          <w14:ligatures w14:val="standardContextual"/>
        </w:rPr>
        <w:t>Validity and Reliability</w:t>
      </w:r>
    </w:p>
    <w:p w14:paraId="526D16C4" w14:textId="77777777" w:rsidR="007567A6" w:rsidRPr="000F5C6F" w:rsidRDefault="003E0637" w:rsidP="00DF22AA">
      <w:pPr>
        <w:spacing w:before="120" w:after="240" w:line="240" w:lineRule="auto"/>
        <w:jc w:val="both"/>
        <w:rPr>
          <w:rFonts w:ascii="Times New Roman" w:hAnsi="Times New Roman" w:cs="Times New Roman"/>
        </w:rPr>
      </w:pPr>
      <w:r w:rsidRPr="000F5C6F">
        <w:rPr>
          <w:rFonts w:ascii="Times New Roman" w:hAnsi="Times New Roman" w:cs="Times New Roman"/>
        </w:rPr>
        <w:t>To improve validity and reliability, the study employed:</w:t>
      </w:r>
    </w:p>
    <w:p w14:paraId="3D23A22E" w14:textId="77777777" w:rsidR="004E1507" w:rsidRPr="000F5C6F" w:rsidRDefault="004E1507" w:rsidP="004E1507">
      <w:pPr>
        <w:pStyle w:val="ListParagraph"/>
        <w:numPr>
          <w:ilvl w:val="0"/>
          <w:numId w:val="18"/>
        </w:numPr>
        <w:spacing w:before="240" w:after="240" w:line="240" w:lineRule="auto"/>
        <w:jc w:val="both"/>
        <w:rPr>
          <w:rFonts w:ascii="Times New Roman" w:hAnsi="Times New Roman" w:cs="Times New Roman"/>
        </w:rPr>
      </w:pPr>
      <w:bookmarkStart w:id="15" w:name="_zcaqb064eizx" w:colFirst="0" w:colLast="0"/>
      <w:bookmarkEnd w:id="15"/>
      <w:r w:rsidRPr="000F5C6F">
        <w:rPr>
          <w:rFonts w:ascii="Times New Roman" w:hAnsi="Times New Roman" w:cs="Times New Roman"/>
        </w:rPr>
        <w:t>Standardised coding frameworks for analysing ITE program</w:t>
      </w:r>
      <w:r>
        <w:rPr>
          <w:rFonts w:ascii="Times New Roman" w:hAnsi="Times New Roman" w:cs="Times New Roman"/>
        </w:rPr>
        <w:t>me</w:t>
      </w:r>
      <w:r w:rsidRPr="000F5C6F">
        <w:rPr>
          <w:rFonts w:ascii="Times New Roman" w:hAnsi="Times New Roman" w:cs="Times New Roman"/>
        </w:rPr>
        <w:t xml:space="preserve"> documents involving clearly defined key themes (e.g., Digital Technologies coverage, ICT/DL skills) and applying them consistently across all sources.</w:t>
      </w:r>
    </w:p>
    <w:p w14:paraId="1B118D2A" w14:textId="77777777" w:rsidR="004E1507" w:rsidRPr="000F5C6F" w:rsidRDefault="004E1507" w:rsidP="004E1507">
      <w:pPr>
        <w:pStyle w:val="ListParagraph"/>
        <w:numPr>
          <w:ilvl w:val="0"/>
          <w:numId w:val="18"/>
        </w:numPr>
        <w:spacing w:before="240" w:after="240" w:line="240" w:lineRule="auto"/>
        <w:jc w:val="both"/>
        <w:rPr>
          <w:rFonts w:ascii="Times New Roman" w:hAnsi="Times New Roman" w:cs="Times New Roman"/>
        </w:rPr>
      </w:pPr>
      <w:r w:rsidRPr="000F5C6F">
        <w:rPr>
          <w:rFonts w:ascii="Times New Roman" w:hAnsi="Times New Roman" w:cs="Times New Roman"/>
        </w:rPr>
        <w:t>Maintaining a detailed audit trail documenting all steps in the data collection, coding, and analysis process to allow other researchers to follow the methodology and verify how conclusions were reached, enhancing transparency and verifiability.</w:t>
      </w:r>
    </w:p>
    <w:p w14:paraId="0B613E8E" w14:textId="77777777" w:rsidR="004E1507" w:rsidRPr="000F5C6F" w:rsidRDefault="004E1507" w:rsidP="004E1507">
      <w:pPr>
        <w:pStyle w:val="ListParagraph"/>
        <w:numPr>
          <w:ilvl w:val="0"/>
          <w:numId w:val="18"/>
        </w:numPr>
        <w:spacing w:before="240" w:after="240" w:line="240" w:lineRule="auto"/>
        <w:jc w:val="both"/>
        <w:rPr>
          <w:rFonts w:ascii="Times New Roman" w:hAnsi="Times New Roman" w:cs="Times New Roman"/>
        </w:rPr>
      </w:pPr>
      <w:r w:rsidRPr="000F5C6F">
        <w:rPr>
          <w:rFonts w:ascii="Times New Roman" w:hAnsi="Times New Roman" w:cs="Times New Roman"/>
        </w:rPr>
        <w:t>Engaging with stakeholders involved in the ITE program</w:t>
      </w:r>
      <w:r>
        <w:rPr>
          <w:rFonts w:ascii="Times New Roman" w:hAnsi="Times New Roman" w:cs="Times New Roman"/>
        </w:rPr>
        <w:t>me</w:t>
      </w:r>
      <w:r w:rsidRPr="000F5C6F">
        <w:rPr>
          <w:rFonts w:ascii="Times New Roman" w:hAnsi="Times New Roman" w:cs="Times New Roman"/>
        </w:rPr>
        <w:t>s (e.g., course coordinators and program</w:t>
      </w:r>
      <w:r>
        <w:rPr>
          <w:rFonts w:ascii="Times New Roman" w:hAnsi="Times New Roman" w:cs="Times New Roman"/>
        </w:rPr>
        <w:t>me</w:t>
      </w:r>
      <w:r w:rsidRPr="000F5C6F">
        <w:rPr>
          <w:rFonts w:ascii="Times New Roman" w:hAnsi="Times New Roman" w:cs="Times New Roman"/>
        </w:rPr>
        <w:t xml:space="preserve"> directors) to review and verify the accuracy of the data interpretations. This feedback loop</w:t>
      </w:r>
      <w:r>
        <w:rPr>
          <w:rFonts w:ascii="Times New Roman" w:hAnsi="Times New Roman" w:cs="Times New Roman"/>
        </w:rPr>
        <w:t>, known as</w:t>
      </w:r>
      <w:r w:rsidRPr="000F5C6F">
        <w:rPr>
          <w:rFonts w:ascii="Times New Roman" w:hAnsi="Times New Roman" w:cs="Times New Roman"/>
        </w:rPr>
        <w:t xml:space="preserve"> member checking</w:t>
      </w:r>
      <w:r>
        <w:rPr>
          <w:rFonts w:ascii="Times New Roman" w:hAnsi="Times New Roman" w:cs="Times New Roman"/>
        </w:rPr>
        <w:t>,</w:t>
      </w:r>
      <w:r w:rsidRPr="000F5C6F">
        <w:rPr>
          <w:rFonts w:ascii="Times New Roman" w:hAnsi="Times New Roman" w:cs="Times New Roman"/>
        </w:rPr>
        <w:t xml:space="preserve"> helped ensure that the findings reflect</w:t>
      </w:r>
      <w:r>
        <w:rPr>
          <w:rFonts w:ascii="Times New Roman" w:hAnsi="Times New Roman" w:cs="Times New Roman"/>
        </w:rPr>
        <w:t>ed</w:t>
      </w:r>
      <w:r w:rsidRPr="000F5C6F">
        <w:rPr>
          <w:rFonts w:ascii="Times New Roman" w:hAnsi="Times New Roman" w:cs="Times New Roman"/>
        </w:rPr>
        <w:t xml:space="preserve"> actual conditions and reduced researcher</w:t>
      </w:r>
      <w:r>
        <w:rPr>
          <w:rFonts w:ascii="Times New Roman" w:hAnsi="Times New Roman" w:cs="Times New Roman"/>
        </w:rPr>
        <w:t xml:space="preserve"> bias</w:t>
      </w:r>
      <w:r w:rsidRPr="000F5C6F">
        <w:rPr>
          <w:rFonts w:ascii="Times New Roman" w:hAnsi="Times New Roman" w:cs="Times New Roman"/>
        </w:rPr>
        <w:t>.</w:t>
      </w:r>
    </w:p>
    <w:p w14:paraId="0BE33789" w14:textId="21DF1720" w:rsidR="007567A6" w:rsidRPr="00DF22AA" w:rsidRDefault="003E0637" w:rsidP="00DF22AA">
      <w:pPr>
        <w:pStyle w:val="Heading3"/>
        <w:spacing w:after="240" w:line="240" w:lineRule="auto"/>
        <w:jc w:val="both"/>
        <w:rPr>
          <w:rFonts w:ascii="Helvetica" w:hAnsi="Helvetica" w:cs="Times New Roman"/>
          <w:i w:val="0"/>
          <w:iCs w:val="0"/>
          <w:sz w:val="24"/>
          <w:szCs w:val="24"/>
        </w:rPr>
      </w:pPr>
      <w:r w:rsidRPr="00DF22AA">
        <w:rPr>
          <w:rFonts w:ascii="Helvetica" w:hAnsi="Helvetica" w:cs="Times New Roman"/>
          <w:i w:val="0"/>
          <w:iCs w:val="0"/>
          <w:sz w:val="24"/>
          <w:szCs w:val="24"/>
        </w:rPr>
        <w:t>Limitations</w:t>
      </w:r>
    </w:p>
    <w:p w14:paraId="4DA29CFE" w14:textId="77777777" w:rsidR="004E1507" w:rsidRPr="000F5C6F" w:rsidRDefault="004E1507" w:rsidP="004E1507">
      <w:pPr>
        <w:spacing w:before="120" w:after="480" w:line="240" w:lineRule="auto"/>
        <w:jc w:val="both"/>
        <w:rPr>
          <w:rFonts w:ascii="Times New Roman" w:hAnsi="Times New Roman" w:cs="Times New Roman"/>
        </w:rPr>
      </w:pPr>
      <w:bookmarkStart w:id="16" w:name="_t59go89xupw7" w:colFirst="0" w:colLast="0"/>
      <w:bookmarkEnd w:id="16"/>
      <w:r w:rsidRPr="000F5C6F">
        <w:rPr>
          <w:rFonts w:ascii="Times New Roman" w:hAnsi="Times New Roman" w:cs="Times New Roman"/>
        </w:rPr>
        <w:t>The study’s reliance on publicly available documents presented limitations, as not all course information content was accessible. This limited the depth of investigation into assessment focus and techniques, pedagogies employed, specific content taught, and the profiles of course convenors. Additionally, the analysis focuses on course profiles and could not capture informal or unlisted program</w:t>
      </w:r>
      <w:r>
        <w:rPr>
          <w:rFonts w:ascii="Times New Roman" w:hAnsi="Times New Roman" w:cs="Times New Roman"/>
        </w:rPr>
        <w:t>me</w:t>
      </w:r>
      <w:r w:rsidRPr="000F5C6F">
        <w:rPr>
          <w:rFonts w:ascii="Times New Roman" w:hAnsi="Times New Roman" w:cs="Times New Roman"/>
        </w:rPr>
        <w:t xml:space="preserve"> elements, such as extra-curricular opportunities. Access to accreditation documents would have provided triangulation opportunities, but these were not comprehensively available for this study.</w:t>
      </w:r>
    </w:p>
    <w:p w14:paraId="0347DC6D" w14:textId="4D7AD7E5" w:rsidR="007567A6" w:rsidRPr="00DF22AA" w:rsidRDefault="003E0637" w:rsidP="00573411">
      <w:pPr>
        <w:spacing w:before="240" w:after="240" w:line="259" w:lineRule="auto"/>
        <w:rPr>
          <w:rFonts w:ascii="Helvetica" w:eastAsiaTheme="minorHAnsi" w:hAnsi="Helvetica" w:cstheme="minorBidi"/>
          <w:b/>
          <w:bCs/>
          <w:kern w:val="2"/>
          <w:sz w:val="28"/>
          <w:szCs w:val="28"/>
          <w:lang w:val="en-AU" w:eastAsia="en-US"/>
          <w14:ligatures w14:val="standardContextual"/>
        </w:rPr>
      </w:pPr>
      <w:r w:rsidRPr="00DF22AA">
        <w:rPr>
          <w:rFonts w:ascii="Helvetica" w:eastAsiaTheme="minorHAnsi" w:hAnsi="Helvetica" w:cstheme="minorBidi"/>
          <w:b/>
          <w:bCs/>
          <w:kern w:val="2"/>
          <w:sz w:val="28"/>
          <w:szCs w:val="28"/>
          <w:lang w:val="en-AU" w:eastAsia="en-US"/>
          <w14:ligatures w14:val="standardContextual"/>
        </w:rPr>
        <w:t>Findings</w:t>
      </w:r>
    </w:p>
    <w:p w14:paraId="6EFF65C1" w14:textId="77777777" w:rsidR="004E1507" w:rsidRDefault="004E1507" w:rsidP="004E1507">
      <w:pPr>
        <w:spacing w:after="240" w:line="240" w:lineRule="auto"/>
        <w:jc w:val="both"/>
        <w:rPr>
          <w:rFonts w:ascii="Times New Roman" w:hAnsi="Times New Roman" w:cs="Times New Roman"/>
        </w:rPr>
      </w:pPr>
      <w:r w:rsidRPr="000F5C6F">
        <w:rPr>
          <w:rFonts w:ascii="Times New Roman" w:hAnsi="Times New Roman" w:cs="Times New Roman"/>
        </w:rPr>
        <w:t>The analysis of Australian Initial Teacher Education (ITE) program</w:t>
      </w:r>
      <w:r>
        <w:rPr>
          <w:rFonts w:ascii="Times New Roman" w:hAnsi="Times New Roman" w:cs="Times New Roman"/>
        </w:rPr>
        <w:t>me</w:t>
      </w:r>
      <w:r w:rsidRPr="000F5C6F">
        <w:rPr>
          <w:rFonts w:ascii="Times New Roman" w:hAnsi="Times New Roman" w:cs="Times New Roman"/>
        </w:rPr>
        <w:t>s revealed significant inconsistencies in how technologies education is integrated into teacher preparation. While the Australian Curriculum: Technologies has been in place since 2015, some universities still do not provide adequate pathways for pre-service teachers to develop the skills necessary to teach this critical learning area. This can be demonstrated by, and attributed to three key factors:</w:t>
      </w:r>
    </w:p>
    <w:p w14:paraId="333EAEAE" w14:textId="77777777" w:rsidR="004E1507" w:rsidRDefault="004E1507">
      <w:pPr>
        <w:rPr>
          <w:rFonts w:ascii="Times New Roman" w:hAnsi="Times New Roman" w:cs="Times New Roman"/>
          <w:b/>
          <w:bCs/>
        </w:rPr>
      </w:pPr>
      <w:r>
        <w:rPr>
          <w:rFonts w:ascii="Times New Roman" w:hAnsi="Times New Roman" w:cs="Times New Roman"/>
          <w:b/>
          <w:bCs/>
        </w:rPr>
        <w:br w:type="page"/>
      </w:r>
    </w:p>
    <w:p w14:paraId="56EF8304" w14:textId="54BEB550" w:rsidR="004E1507" w:rsidRPr="00573411" w:rsidRDefault="004E1507" w:rsidP="004E1507">
      <w:pPr>
        <w:numPr>
          <w:ilvl w:val="0"/>
          <w:numId w:val="3"/>
        </w:numPr>
        <w:spacing w:before="240" w:after="120" w:line="240" w:lineRule="auto"/>
        <w:ind w:left="426" w:hanging="426"/>
        <w:jc w:val="both"/>
        <w:rPr>
          <w:rFonts w:ascii="Times New Roman" w:hAnsi="Times New Roman" w:cs="Times New Roman"/>
          <w:b/>
          <w:bCs/>
        </w:rPr>
      </w:pPr>
      <w:r w:rsidRPr="00573411">
        <w:rPr>
          <w:rFonts w:ascii="Times New Roman" w:hAnsi="Times New Roman" w:cs="Times New Roman"/>
          <w:b/>
          <w:bCs/>
        </w:rPr>
        <w:lastRenderedPageBreak/>
        <w:t>Lack of Consistent Technologies Education Across ITE Program</w:t>
      </w:r>
      <w:r>
        <w:rPr>
          <w:rFonts w:ascii="Times New Roman" w:hAnsi="Times New Roman" w:cs="Times New Roman"/>
          <w:b/>
          <w:bCs/>
        </w:rPr>
        <w:t>me</w:t>
      </w:r>
      <w:r w:rsidRPr="00573411">
        <w:rPr>
          <w:rFonts w:ascii="Times New Roman" w:hAnsi="Times New Roman" w:cs="Times New Roman"/>
          <w:b/>
          <w:bCs/>
        </w:rPr>
        <w:t>s (Table 1):</w:t>
      </w:r>
    </w:p>
    <w:p w14:paraId="3D820B7E" w14:textId="77777777" w:rsidR="004E1507" w:rsidRPr="000F5C6F" w:rsidRDefault="004E1507" w:rsidP="004E1507">
      <w:pPr>
        <w:numPr>
          <w:ilvl w:val="0"/>
          <w:numId w:val="15"/>
        </w:numPr>
        <w:spacing w:line="240" w:lineRule="auto"/>
        <w:jc w:val="both"/>
        <w:rPr>
          <w:rFonts w:ascii="Times New Roman" w:hAnsi="Times New Roman" w:cs="Times New Roman"/>
        </w:rPr>
      </w:pPr>
      <w:r w:rsidRPr="000F5C6F">
        <w:rPr>
          <w:rFonts w:ascii="Times New Roman" w:hAnsi="Times New Roman" w:cs="Times New Roman"/>
        </w:rPr>
        <w:t>Nationally, 8% of primary ITE program</w:t>
      </w:r>
      <w:r>
        <w:rPr>
          <w:rFonts w:ascii="Times New Roman" w:hAnsi="Times New Roman" w:cs="Times New Roman"/>
        </w:rPr>
        <w:t>me</w:t>
      </w:r>
      <w:r w:rsidRPr="000F5C6F">
        <w:rPr>
          <w:rFonts w:ascii="Times New Roman" w:hAnsi="Times New Roman" w:cs="Times New Roman"/>
        </w:rPr>
        <w:t>s offer no preparation for teaching any technologies education.</w:t>
      </w:r>
    </w:p>
    <w:p w14:paraId="40FFAED9" w14:textId="77777777" w:rsidR="004E1507" w:rsidRPr="000F5C6F" w:rsidRDefault="004E1507" w:rsidP="004E1507">
      <w:pPr>
        <w:numPr>
          <w:ilvl w:val="0"/>
          <w:numId w:val="15"/>
        </w:numPr>
        <w:spacing w:line="240" w:lineRule="auto"/>
        <w:jc w:val="both"/>
        <w:rPr>
          <w:rFonts w:ascii="Times New Roman" w:hAnsi="Times New Roman" w:cs="Times New Roman"/>
        </w:rPr>
      </w:pPr>
      <w:r w:rsidRPr="000F5C6F">
        <w:rPr>
          <w:rFonts w:ascii="Times New Roman" w:hAnsi="Times New Roman" w:cs="Times New Roman"/>
          <w:color w:val="000000" w:themeColor="text1"/>
        </w:rPr>
        <w:t>Only 51% of UG (Primary), 27% of PG (Primary), 72% of UG (Secondary), and 60% of PG (Secondary) program</w:t>
      </w:r>
      <w:r>
        <w:rPr>
          <w:rFonts w:ascii="Times New Roman" w:hAnsi="Times New Roman" w:cs="Times New Roman"/>
          <w:color w:val="000000" w:themeColor="text1"/>
        </w:rPr>
        <w:t>me</w:t>
      </w:r>
      <w:r w:rsidRPr="000F5C6F">
        <w:rPr>
          <w:rFonts w:ascii="Times New Roman" w:hAnsi="Times New Roman" w:cs="Times New Roman"/>
          <w:color w:val="000000" w:themeColor="text1"/>
        </w:rPr>
        <w:t>s explicitly teach ICT/DL skills. SA, Tasmania (TAS), and the NT have no undergraduate primary ITE program</w:t>
      </w:r>
      <w:r>
        <w:rPr>
          <w:rFonts w:ascii="Times New Roman" w:hAnsi="Times New Roman" w:cs="Times New Roman"/>
          <w:color w:val="000000" w:themeColor="text1"/>
        </w:rPr>
        <w:t>me</w:t>
      </w:r>
      <w:r w:rsidRPr="000F5C6F">
        <w:rPr>
          <w:rFonts w:ascii="Times New Roman" w:hAnsi="Times New Roman" w:cs="Times New Roman"/>
          <w:color w:val="000000" w:themeColor="text1"/>
        </w:rPr>
        <w:t>s offering any identifiable ICT/DL education. Postgraduate primary program</w:t>
      </w:r>
      <w:r>
        <w:rPr>
          <w:rFonts w:ascii="Times New Roman" w:hAnsi="Times New Roman" w:cs="Times New Roman"/>
          <w:color w:val="000000" w:themeColor="text1"/>
        </w:rPr>
        <w:t>me</w:t>
      </w:r>
      <w:r w:rsidRPr="000F5C6F">
        <w:rPr>
          <w:rFonts w:ascii="Times New Roman" w:hAnsi="Times New Roman" w:cs="Times New Roman"/>
          <w:color w:val="000000" w:themeColor="text1"/>
        </w:rPr>
        <w:t>s also lack ICT/DL courses, with no ICT/DL education in the ACT, NT, QLD, or Victoria (VIC).</w:t>
      </w:r>
    </w:p>
    <w:p w14:paraId="2BE39F03" w14:textId="77777777" w:rsidR="004E1507" w:rsidRPr="000F5C6F" w:rsidRDefault="004E1507" w:rsidP="004E1507">
      <w:pPr>
        <w:numPr>
          <w:ilvl w:val="0"/>
          <w:numId w:val="15"/>
        </w:numPr>
        <w:spacing w:line="240" w:lineRule="auto"/>
        <w:jc w:val="both"/>
        <w:rPr>
          <w:rFonts w:ascii="Times New Roman" w:hAnsi="Times New Roman" w:cs="Times New Roman"/>
        </w:rPr>
      </w:pPr>
      <w:r w:rsidRPr="000F5C6F">
        <w:rPr>
          <w:rFonts w:ascii="Times New Roman" w:hAnsi="Times New Roman" w:cs="Times New Roman"/>
        </w:rPr>
        <w:t>While 73% of secondary UG and 90% of PG ITE program</w:t>
      </w:r>
      <w:r>
        <w:rPr>
          <w:rFonts w:ascii="Times New Roman" w:hAnsi="Times New Roman" w:cs="Times New Roman"/>
        </w:rPr>
        <w:t>me</w:t>
      </w:r>
      <w:r w:rsidRPr="000F5C6F">
        <w:rPr>
          <w:rFonts w:ascii="Times New Roman" w:hAnsi="Times New Roman" w:cs="Times New Roman"/>
        </w:rPr>
        <w:t>s offer a technologies teaching area, there is a much lower percentage offering specific program</w:t>
      </w:r>
      <w:r>
        <w:rPr>
          <w:rFonts w:ascii="Times New Roman" w:hAnsi="Times New Roman" w:cs="Times New Roman"/>
        </w:rPr>
        <w:t>me</w:t>
      </w:r>
      <w:r w:rsidRPr="000F5C6F">
        <w:rPr>
          <w:rFonts w:ascii="Times New Roman" w:hAnsi="Times New Roman" w:cs="Times New Roman"/>
        </w:rPr>
        <w:t>s, UG studies are only available in computing teaching areas in 46.34% of program</w:t>
      </w:r>
      <w:r>
        <w:rPr>
          <w:rFonts w:ascii="Times New Roman" w:hAnsi="Times New Roman" w:cs="Times New Roman"/>
        </w:rPr>
        <w:t>me</w:t>
      </w:r>
      <w:r w:rsidRPr="000F5C6F">
        <w:rPr>
          <w:rFonts w:ascii="Times New Roman" w:hAnsi="Times New Roman" w:cs="Times New Roman"/>
        </w:rPr>
        <w:t>s, industrial in 31.71%, home economics 29.27%, and agriculture in 9.76%, with similar proportions in PG program</w:t>
      </w:r>
      <w:r>
        <w:rPr>
          <w:rFonts w:ascii="Times New Roman" w:hAnsi="Times New Roman" w:cs="Times New Roman"/>
        </w:rPr>
        <w:t>me</w:t>
      </w:r>
      <w:r w:rsidRPr="000F5C6F">
        <w:rPr>
          <w:rFonts w:ascii="Times New Roman" w:hAnsi="Times New Roman" w:cs="Times New Roman"/>
        </w:rPr>
        <w:t>s, with computing in 41.46%, industrial 21.95%, home economics 14.63% and agriculture in 4.88%.</w:t>
      </w:r>
    </w:p>
    <w:p w14:paraId="6957CDD9" w14:textId="7AE8270B" w:rsidR="009678F6" w:rsidRPr="000F5C6F" w:rsidRDefault="004E1507" w:rsidP="004E1507">
      <w:pPr>
        <w:numPr>
          <w:ilvl w:val="0"/>
          <w:numId w:val="15"/>
        </w:numPr>
        <w:spacing w:after="240" w:line="240" w:lineRule="auto"/>
        <w:jc w:val="both"/>
        <w:rPr>
          <w:rFonts w:ascii="Times New Roman" w:hAnsi="Times New Roman" w:cs="Times New Roman"/>
        </w:rPr>
      </w:pPr>
      <w:r w:rsidRPr="000F5C6F">
        <w:rPr>
          <w:rFonts w:ascii="Times New Roman" w:hAnsi="Times New Roman" w:cs="Times New Roman"/>
        </w:rPr>
        <w:t>These inequalities exist in program</w:t>
      </w:r>
      <w:r>
        <w:rPr>
          <w:rFonts w:ascii="Times New Roman" w:hAnsi="Times New Roman" w:cs="Times New Roman"/>
        </w:rPr>
        <w:t>me</w:t>
      </w:r>
      <w:r w:rsidRPr="000F5C6F">
        <w:rPr>
          <w:rFonts w:ascii="Times New Roman" w:hAnsi="Times New Roman" w:cs="Times New Roman"/>
        </w:rPr>
        <w:t xml:space="preserve">s nationally but are amplified when occurring in smaller states or territories where a single ITE institution provides education – ACT, NT and Tasmania. While multi-state ITE providers can assist, the access to ITE preparation for teaching technologies </w:t>
      </w:r>
      <w:r w:rsidR="009174ED" w:rsidRPr="000F5C6F">
        <w:rPr>
          <w:rFonts w:ascii="Times New Roman" w:hAnsi="Times New Roman" w:cs="Times New Roman"/>
        </w:rPr>
        <w:t>subjects is largely determined by geography.</w:t>
      </w:r>
    </w:p>
    <w:p w14:paraId="687651E6" w14:textId="3A77E6BA" w:rsidR="009678F6" w:rsidRPr="000F5C6F" w:rsidRDefault="009678F6" w:rsidP="000F5C6F">
      <w:pPr>
        <w:spacing w:after="240" w:line="240" w:lineRule="auto"/>
        <w:jc w:val="both"/>
        <w:rPr>
          <w:rFonts w:ascii="Times New Roman" w:hAnsi="Times New Roman" w:cs="Times New Roman"/>
        </w:rPr>
        <w:sectPr w:rsidR="009678F6" w:rsidRPr="000F5C6F" w:rsidSect="007F7BE3">
          <w:pgSz w:w="11906" w:h="16838"/>
          <w:pgMar w:top="1440" w:right="1440" w:bottom="1440" w:left="1440" w:header="720" w:footer="720" w:gutter="0"/>
          <w:pgNumType w:start="1"/>
          <w:cols w:space="720"/>
          <w:titlePg/>
          <w:docGrid w:linePitch="299"/>
        </w:sectPr>
      </w:pPr>
    </w:p>
    <w:p w14:paraId="1E4C9FF3" w14:textId="07634B45" w:rsidR="005B412F" w:rsidRPr="000F5C6F" w:rsidRDefault="005B412F" w:rsidP="00DF22AA">
      <w:pPr>
        <w:spacing w:after="120" w:line="240" w:lineRule="auto"/>
        <w:rPr>
          <w:rFonts w:ascii="Times New Roman" w:hAnsi="Times New Roman" w:cs="Times New Roman"/>
        </w:rPr>
      </w:pPr>
      <w:r w:rsidRPr="00DF22AA">
        <w:rPr>
          <w:rFonts w:ascii="Times New Roman" w:hAnsi="Times New Roman" w:cs="Times New Roman"/>
          <w:b/>
          <w:bCs/>
        </w:rPr>
        <w:lastRenderedPageBreak/>
        <w:t>Table</w:t>
      </w:r>
      <w:r w:rsidR="00DF22AA" w:rsidRPr="00DF22AA">
        <w:rPr>
          <w:rFonts w:ascii="Times New Roman" w:hAnsi="Times New Roman" w:cs="Times New Roman"/>
          <w:b/>
          <w:bCs/>
        </w:rPr>
        <w:t xml:space="preserve"> 1:</w:t>
      </w:r>
      <w:r w:rsidRPr="000F5C6F">
        <w:rPr>
          <w:rFonts w:ascii="Times New Roman" w:hAnsi="Times New Roman" w:cs="Times New Roman"/>
        </w:rPr>
        <w:t xml:space="preserve"> </w:t>
      </w:r>
      <w:r w:rsidR="00265483" w:rsidRPr="000F5C6F">
        <w:rPr>
          <w:rFonts w:ascii="Times New Roman" w:hAnsi="Times New Roman" w:cs="Times New Roman"/>
        </w:rPr>
        <w:br/>
      </w:r>
      <w:r w:rsidR="00265483" w:rsidRPr="000F5C6F">
        <w:rPr>
          <w:rFonts w:ascii="Times New Roman" w:hAnsi="Times New Roman" w:cs="Times New Roman"/>
          <w:i/>
          <w:iCs/>
        </w:rPr>
        <w:t>Austral</w:t>
      </w:r>
      <w:r w:rsidR="00871C06" w:rsidRPr="000F5C6F">
        <w:rPr>
          <w:rFonts w:ascii="Times New Roman" w:hAnsi="Times New Roman" w:cs="Times New Roman"/>
          <w:i/>
          <w:iCs/>
        </w:rPr>
        <w:t>ian Initial Teacher Education Technology Education Courses</w:t>
      </w:r>
    </w:p>
    <w:tbl>
      <w:tblPr>
        <w:tblW w:w="137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528"/>
        <w:gridCol w:w="564"/>
        <w:gridCol w:w="589"/>
        <w:gridCol w:w="552"/>
        <w:gridCol w:w="440"/>
        <w:gridCol w:w="567"/>
        <w:gridCol w:w="567"/>
        <w:gridCol w:w="567"/>
        <w:gridCol w:w="709"/>
        <w:gridCol w:w="513"/>
        <w:gridCol w:w="479"/>
        <w:gridCol w:w="567"/>
        <w:gridCol w:w="567"/>
        <w:gridCol w:w="567"/>
        <w:gridCol w:w="567"/>
        <w:gridCol w:w="567"/>
        <w:gridCol w:w="567"/>
        <w:gridCol w:w="567"/>
        <w:gridCol w:w="567"/>
        <w:gridCol w:w="567"/>
        <w:gridCol w:w="567"/>
      </w:tblGrid>
      <w:tr w:rsidR="00265483" w:rsidRPr="000F5C6F" w14:paraId="6A11A141" w14:textId="77777777" w:rsidTr="00871C06">
        <w:trPr>
          <w:trHeight w:val="20"/>
        </w:trPr>
        <w:tc>
          <w:tcPr>
            <w:tcW w:w="2528" w:type="dxa"/>
            <w:noWrap/>
            <w:vAlign w:val="bottom"/>
            <w:hideMark/>
          </w:tcPr>
          <w:p w14:paraId="69EA305F" w14:textId="77777777" w:rsidR="00265483" w:rsidRPr="000F5C6F" w:rsidRDefault="00265483" w:rsidP="000F5C6F">
            <w:pPr>
              <w:spacing w:line="240" w:lineRule="auto"/>
              <w:jc w:val="both"/>
              <w:rPr>
                <w:rFonts w:ascii="Times New Roman" w:eastAsia="Times New Roman" w:hAnsi="Times New Roman" w:cs="Times New Roman"/>
                <w:lang w:val="en-AU"/>
              </w:rPr>
            </w:pPr>
          </w:p>
        </w:tc>
        <w:tc>
          <w:tcPr>
            <w:tcW w:w="1153" w:type="dxa"/>
            <w:gridSpan w:val="2"/>
            <w:noWrap/>
            <w:vAlign w:val="bottom"/>
            <w:hideMark/>
          </w:tcPr>
          <w:p w14:paraId="7A0F1197" w14:textId="3614D56F" w:rsidR="00265483" w:rsidRPr="000F5C6F" w:rsidRDefault="00265483" w:rsidP="000F5C6F">
            <w:pPr>
              <w:spacing w:line="240" w:lineRule="auto"/>
              <w:jc w:val="both"/>
              <w:rPr>
                <w:rFonts w:ascii="Times New Roman" w:eastAsia="Times New Roman" w:hAnsi="Times New Roman" w:cs="Times New Roman"/>
                <w:lang w:val="en-AU"/>
              </w:rPr>
            </w:pPr>
            <w:r w:rsidRPr="000F5C6F">
              <w:rPr>
                <w:rFonts w:ascii="Times New Roman" w:eastAsia="Times New Roman" w:hAnsi="Times New Roman" w:cs="Times New Roman"/>
                <w:b/>
                <w:bCs/>
                <w:color w:val="000000"/>
                <w:lang w:val="en-AU"/>
              </w:rPr>
              <w:t>UG Primary</w:t>
            </w:r>
          </w:p>
        </w:tc>
        <w:tc>
          <w:tcPr>
            <w:tcW w:w="1559" w:type="dxa"/>
            <w:gridSpan w:val="3"/>
            <w:noWrap/>
            <w:vAlign w:val="bottom"/>
            <w:hideMark/>
          </w:tcPr>
          <w:p w14:paraId="63628AB4" w14:textId="0844BCC9" w:rsidR="00265483" w:rsidRPr="000F5C6F" w:rsidRDefault="00265483" w:rsidP="000F5C6F">
            <w:pPr>
              <w:spacing w:line="240" w:lineRule="auto"/>
              <w:jc w:val="both"/>
              <w:rPr>
                <w:rFonts w:ascii="Times New Roman" w:eastAsia="Times New Roman" w:hAnsi="Times New Roman" w:cs="Times New Roman"/>
                <w:lang w:val="en-AU"/>
              </w:rPr>
            </w:pPr>
            <w:r w:rsidRPr="000F5C6F">
              <w:rPr>
                <w:rFonts w:ascii="Times New Roman" w:eastAsia="Times New Roman" w:hAnsi="Times New Roman" w:cs="Times New Roman"/>
                <w:b/>
                <w:bCs/>
                <w:color w:val="000000"/>
                <w:lang w:val="en-AU"/>
              </w:rPr>
              <w:t>PG Primary</w:t>
            </w:r>
          </w:p>
        </w:tc>
        <w:tc>
          <w:tcPr>
            <w:tcW w:w="2835" w:type="dxa"/>
            <w:gridSpan w:val="5"/>
            <w:noWrap/>
            <w:vAlign w:val="bottom"/>
            <w:hideMark/>
          </w:tcPr>
          <w:p w14:paraId="322CA01F" w14:textId="751B5C2B" w:rsidR="00265483" w:rsidRPr="000F5C6F" w:rsidRDefault="00265483" w:rsidP="000F5C6F">
            <w:pPr>
              <w:spacing w:line="240" w:lineRule="auto"/>
              <w:jc w:val="both"/>
              <w:rPr>
                <w:rFonts w:ascii="Times New Roman" w:eastAsia="Times New Roman" w:hAnsi="Times New Roman" w:cs="Times New Roman"/>
                <w:lang w:val="en-AU"/>
              </w:rPr>
            </w:pPr>
            <w:r w:rsidRPr="000F5C6F">
              <w:rPr>
                <w:rFonts w:ascii="Times New Roman" w:eastAsia="Times New Roman" w:hAnsi="Times New Roman" w:cs="Times New Roman"/>
                <w:b/>
                <w:bCs/>
                <w:color w:val="000000"/>
                <w:lang w:val="en-AU"/>
              </w:rPr>
              <w:t>UG Secondary</w:t>
            </w:r>
          </w:p>
        </w:tc>
        <w:tc>
          <w:tcPr>
            <w:tcW w:w="2268" w:type="dxa"/>
            <w:gridSpan w:val="4"/>
            <w:noWrap/>
            <w:vAlign w:val="bottom"/>
            <w:hideMark/>
          </w:tcPr>
          <w:p w14:paraId="319649D7" w14:textId="20E4BFF9" w:rsidR="00265483" w:rsidRPr="000F5C6F" w:rsidRDefault="00265483" w:rsidP="000F5C6F">
            <w:pPr>
              <w:spacing w:line="240" w:lineRule="auto"/>
              <w:jc w:val="both"/>
              <w:rPr>
                <w:rFonts w:ascii="Times New Roman" w:eastAsia="Times New Roman" w:hAnsi="Times New Roman" w:cs="Times New Roman"/>
                <w:lang w:val="en-AU"/>
              </w:rPr>
            </w:pPr>
            <w:r w:rsidRPr="000F5C6F">
              <w:rPr>
                <w:rFonts w:ascii="Times New Roman" w:eastAsia="Times New Roman" w:hAnsi="Times New Roman" w:cs="Times New Roman"/>
                <w:b/>
                <w:bCs/>
                <w:color w:val="1F1F1F"/>
                <w:lang w:val="en-AU"/>
              </w:rPr>
              <w:t>Teaching Areas</w:t>
            </w:r>
          </w:p>
        </w:tc>
        <w:tc>
          <w:tcPr>
            <w:tcW w:w="1701" w:type="dxa"/>
            <w:gridSpan w:val="3"/>
            <w:noWrap/>
            <w:vAlign w:val="bottom"/>
            <w:hideMark/>
          </w:tcPr>
          <w:p w14:paraId="2FFA461B" w14:textId="77777777" w:rsidR="00265483" w:rsidRPr="000F5C6F" w:rsidRDefault="00265483" w:rsidP="000F5C6F">
            <w:pPr>
              <w:spacing w:line="240" w:lineRule="auto"/>
              <w:jc w:val="both"/>
              <w:rPr>
                <w:rFonts w:ascii="Times New Roman" w:eastAsia="Times New Roman" w:hAnsi="Times New Roman" w:cs="Times New Roman"/>
                <w:b/>
                <w:bCs/>
                <w:color w:val="000000"/>
                <w:lang w:val="en-AU"/>
              </w:rPr>
            </w:pPr>
            <w:r w:rsidRPr="000F5C6F">
              <w:rPr>
                <w:rFonts w:ascii="Times New Roman" w:eastAsia="Times New Roman" w:hAnsi="Times New Roman" w:cs="Times New Roman"/>
                <w:b/>
                <w:bCs/>
                <w:color w:val="000000"/>
                <w:lang w:val="en-AU"/>
              </w:rPr>
              <w:t>PG Secondary</w:t>
            </w:r>
          </w:p>
        </w:tc>
        <w:tc>
          <w:tcPr>
            <w:tcW w:w="1701" w:type="dxa"/>
            <w:gridSpan w:val="3"/>
            <w:vAlign w:val="bottom"/>
          </w:tcPr>
          <w:p w14:paraId="2C19850A" w14:textId="5D0875F5" w:rsidR="00265483" w:rsidRPr="000F5C6F" w:rsidRDefault="00265483" w:rsidP="000F5C6F">
            <w:pPr>
              <w:spacing w:line="240" w:lineRule="auto"/>
              <w:jc w:val="both"/>
              <w:rPr>
                <w:rFonts w:ascii="Times New Roman" w:eastAsia="Times New Roman" w:hAnsi="Times New Roman" w:cs="Times New Roman"/>
                <w:lang w:val="en-AU"/>
              </w:rPr>
            </w:pPr>
            <w:r w:rsidRPr="000F5C6F">
              <w:rPr>
                <w:rFonts w:ascii="Times New Roman" w:eastAsia="Times New Roman" w:hAnsi="Times New Roman" w:cs="Times New Roman"/>
                <w:b/>
                <w:bCs/>
                <w:color w:val="1F1F1F"/>
                <w:lang w:val="en-AU"/>
              </w:rPr>
              <w:t>Teaching Areas</w:t>
            </w:r>
          </w:p>
        </w:tc>
      </w:tr>
      <w:tr w:rsidR="00871C06" w:rsidRPr="000F5C6F" w14:paraId="37C2A615" w14:textId="77777777" w:rsidTr="00106B24">
        <w:trPr>
          <w:trHeight w:val="20"/>
        </w:trPr>
        <w:tc>
          <w:tcPr>
            <w:tcW w:w="2528" w:type="dxa"/>
            <w:noWrap/>
            <w:vAlign w:val="bottom"/>
            <w:hideMark/>
          </w:tcPr>
          <w:p w14:paraId="3A00DA54" w14:textId="77777777" w:rsidR="001B4353" w:rsidRPr="000F5C6F" w:rsidRDefault="001B4353" w:rsidP="000F5C6F">
            <w:pPr>
              <w:spacing w:line="240" w:lineRule="auto"/>
              <w:jc w:val="both"/>
              <w:rPr>
                <w:rFonts w:ascii="Times New Roman" w:eastAsia="Times New Roman" w:hAnsi="Times New Roman" w:cs="Times New Roman"/>
                <w:lang w:val="en-AU"/>
              </w:rPr>
            </w:pPr>
          </w:p>
        </w:tc>
        <w:tc>
          <w:tcPr>
            <w:tcW w:w="564" w:type="dxa"/>
            <w:noWrap/>
            <w:vAlign w:val="bottom"/>
            <w:hideMark/>
          </w:tcPr>
          <w:p w14:paraId="4DC48F06" w14:textId="29BDEBC4"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ICT</w:t>
            </w:r>
          </w:p>
        </w:tc>
        <w:tc>
          <w:tcPr>
            <w:tcW w:w="589" w:type="dxa"/>
            <w:noWrap/>
            <w:vAlign w:val="bottom"/>
            <w:hideMark/>
          </w:tcPr>
          <w:p w14:paraId="08AFB01A" w14:textId="335FABB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DT Curric</w:t>
            </w:r>
          </w:p>
        </w:tc>
        <w:tc>
          <w:tcPr>
            <w:tcW w:w="552" w:type="dxa"/>
            <w:noWrap/>
            <w:vAlign w:val="bottom"/>
            <w:hideMark/>
          </w:tcPr>
          <w:p w14:paraId="57037D88" w14:textId="2565C9CE"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D&amp;T Curric</w:t>
            </w:r>
          </w:p>
        </w:tc>
        <w:tc>
          <w:tcPr>
            <w:tcW w:w="440" w:type="dxa"/>
            <w:noWrap/>
            <w:vAlign w:val="bottom"/>
            <w:hideMark/>
          </w:tcPr>
          <w:p w14:paraId="3BF3AB10" w14:textId="6195F6E8"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w:t>
            </w:r>
            <w:r w:rsidR="00871C06" w:rsidRPr="000F5C6F">
              <w:rPr>
                <w:rFonts w:ascii="Times New Roman" w:eastAsia="Times New Roman" w:hAnsi="Times New Roman" w:cs="Times New Roman"/>
                <w:color w:val="000000"/>
                <w:lang w:val="en-AU"/>
              </w:rPr>
              <w:t>T</w:t>
            </w:r>
          </w:p>
        </w:tc>
        <w:tc>
          <w:tcPr>
            <w:tcW w:w="567" w:type="dxa"/>
            <w:noWrap/>
            <w:vAlign w:val="bottom"/>
            <w:hideMark/>
          </w:tcPr>
          <w:p w14:paraId="0DF66ACB" w14:textId="05A99C9A"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DT Curric</w:t>
            </w:r>
          </w:p>
        </w:tc>
        <w:tc>
          <w:tcPr>
            <w:tcW w:w="567" w:type="dxa"/>
            <w:noWrap/>
            <w:vAlign w:val="bottom"/>
            <w:hideMark/>
          </w:tcPr>
          <w:p w14:paraId="416BA964" w14:textId="109D58BA"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D&amp;T Curric</w:t>
            </w:r>
          </w:p>
        </w:tc>
        <w:tc>
          <w:tcPr>
            <w:tcW w:w="567" w:type="dxa"/>
            <w:noWrap/>
            <w:vAlign w:val="bottom"/>
            <w:hideMark/>
          </w:tcPr>
          <w:p w14:paraId="5A4E2B48" w14:textId="4909DBB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ICT</w:t>
            </w:r>
          </w:p>
        </w:tc>
        <w:tc>
          <w:tcPr>
            <w:tcW w:w="709" w:type="dxa"/>
            <w:noWrap/>
            <w:vAlign w:val="bottom"/>
            <w:hideMark/>
          </w:tcPr>
          <w:p w14:paraId="03DF4DB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Content</w:t>
            </w:r>
          </w:p>
        </w:tc>
        <w:tc>
          <w:tcPr>
            <w:tcW w:w="513" w:type="dxa"/>
            <w:noWrap/>
            <w:vAlign w:val="bottom"/>
            <w:hideMark/>
          </w:tcPr>
          <w:p w14:paraId="28B50FD1" w14:textId="5E141CCA"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DT Curr</w:t>
            </w:r>
          </w:p>
        </w:tc>
        <w:tc>
          <w:tcPr>
            <w:tcW w:w="479" w:type="dxa"/>
            <w:noWrap/>
            <w:vAlign w:val="bottom"/>
            <w:hideMark/>
          </w:tcPr>
          <w:p w14:paraId="452C9074" w14:textId="6D15188F"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D&amp;T Curr</w:t>
            </w:r>
          </w:p>
        </w:tc>
        <w:tc>
          <w:tcPr>
            <w:tcW w:w="567" w:type="dxa"/>
            <w:noWrap/>
            <w:vAlign w:val="bottom"/>
            <w:hideMark/>
          </w:tcPr>
          <w:p w14:paraId="59AE8F93" w14:textId="6E7AE0C1"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Comp</w:t>
            </w:r>
          </w:p>
        </w:tc>
        <w:tc>
          <w:tcPr>
            <w:tcW w:w="567" w:type="dxa"/>
            <w:noWrap/>
            <w:vAlign w:val="bottom"/>
            <w:hideMark/>
          </w:tcPr>
          <w:p w14:paraId="18C6E7A7" w14:textId="1CA23DDB"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Indus</w:t>
            </w:r>
            <w:r w:rsidR="00A25CDA" w:rsidRPr="000F5C6F">
              <w:rPr>
                <w:rFonts w:ascii="Times New Roman" w:eastAsia="Times New Roman" w:hAnsi="Times New Roman" w:cs="Times New Roman"/>
                <w:color w:val="000000"/>
                <w:lang w:val="en-AU"/>
              </w:rPr>
              <w:t>t</w:t>
            </w:r>
          </w:p>
        </w:tc>
        <w:tc>
          <w:tcPr>
            <w:tcW w:w="567" w:type="dxa"/>
            <w:noWrap/>
            <w:vAlign w:val="bottom"/>
            <w:hideMark/>
          </w:tcPr>
          <w:p w14:paraId="21B19EB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Home Ec</w:t>
            </w:r>
          </w:p>
        </w:tc>
        <w:tc>
          <w:tcPr>
            <w:tcW w:w="567" w:type="dxa"/>
            <w:noWrap/>
            <w:vAlign w:val="bottom"/>
            <w:hideMark/>
          </w:tcPr>
          <w:p w14:paraId="3622193C" w14:textId="33FC4E2F"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Agri</w:t>
            </w:r>
            <w:r w:rsidR="00A25CDA" w:rsidRPr="000F5C6F">
              <w:rPr>
                <w:rFonts w:ascii="Times New Roman" w:eastAsia="Times New Roman" w:hAnsi="Times New Roman" w:cs="Times New Roman"/>
                <w:color w:val="000000"/>
                <w:lang w:val="en-AU"/>
              </w:rPr>
              <w:t>c</w:t>
            </w:r>
          </w:p>
        </w:tc>
        <w:tc>
          <w:tcPr>
            <w:tcW w:w="567" w:type="dxa"/>
            <w:noWrap/>
            <w:vAlign w:val="bottom"/>
            <w:hideMark/>
          </w:tcPr>
          <w:p w14:paraId="552EF554" w14:textId="29822BED"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ICT</w:t>
            </w:r>
          </w:p>
        </w:tc>
        <w:tc>
          <w:tcPr>
            <w:tcW w:w="567" w:type="dxa"/>
            <w:noWrap/>
            <w:vAlign w:val="bottom"/>
            <w:hideMark/>
          </w:tcPr>
          <w:p w14:paraId="05866BE4" w14:textId="71BD93D4"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Curric</w:t>
            </w:r>
          </w:p>
        </w:tc>
        <w:tc>
          <w:tcPr>
            <w:tcW w:w="567" w:type="dxa"/>
            <w:noWrap/>
            <w:vAlign w:val="bottom"/>
            <w:hideMark/>
          </w:tcPr>
          <w:p w14:paraId="10E5AB2D" w14:textId="31E79740"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Comp</w:t>
            </w:r>
          </w:p>
        </w:tc>
        <w:tc>
          <w:tcPr>
            <w:tcW w:w="567" w:type="dxa"/>
            <w:noWrap/>
            <w:vAlign w:val="bottom"/>
            <w:hideMark/>
          </w:tcPr>
          <w:p w14:paraId="55E48A4E" w14:textId="4236BBA4" w:rsidR="001B4353" w:rsidRPr="000F5C6F" w:rsidRDefault="00871C06"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Indust</w:t>
            </w:r>
          </w:p>
        </w:tc>
        <w:tc>
          <w:tcPr>
            <w:tcW w:w="567" w:type="dxa"/>
            <w:noWrap/>
            <w:vAlign w:val="bottom"/>
            <w:hideMark/>
          </w:tcPr>
          <w:p w14:paraId="3B9AAB93" w14:textId="521B13C9"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Home Ec</w:t>
            </w:r>
          </w:p>
        </w:tc>
        <w:tc>
          <w:tcPr>
            <w:tcW w:w="567" w:type="dxa"/>
            <w:noWrap/>
            <w:vAlign w:val="bottom"/>
            <w:hideMark/>
          </w:tcPr>
          <w:p w14:paraId="37B50D0E" w14:textId="14CA6C12"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Agric</w:t>
            </w:r>
          </w:p>
        </w:tc>
      </w:tr>
      <w:tr w:rsidR="00871C06" w:rsidRPr="000F5C6F" w14:paraId="694C7E4A" w14:textId="77777777" w:rsidTr="00106B24">
        <w:trPr>
          <w:trHeight w:val="20"/>
        </w:trPr>
        <w:tc>
          <w:tcPr>
            <w:tcW w:w="2528" w:type="dxa"/>
            <w:noWrap/>
            <w:vAlign w:val="bottom"/>
            <w:hideMark/>
          </w:tcPr>
          <w:p w14:paraId="416A3EDB" w14:textId="12CE725C" w:rsidR="001B4353" w:rsidRPr="000F5C6F" w:rsidRDefault="001B4353" w:rsidP="00BD10C8">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Australian Capital Territory</w:t>
            </w:r>
          </w:p>
        </w:tc>
        <w:tc>
          <w:tcPr>
            <w:tcW w:w="564" w:type="dxa"/>
            <w:noWrap/>
            <w:vAlign w:val="bottom"/>
            <w:hideMark/>
          </w:tcPr>
          <w:p w14:paraId="23FA3F7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89" w:type="dxa"/>
            <w:noWrap/>
            <w:vAlign w:val="bottom"/>
            <w:hideMark/>
          </w:tcPr>
          <w:p w14:paraId="52624F6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52" w:type="dxa"/>
            <w:noWrap/>
            <w:vAlign w:val="bottom"/>
            <w:hideMark/>
          </w:tcPr>
          <w:p w14:paraId="208D676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440" w:type="dxa"/>
            <w:noWrap/>
            <w:vAlign w:val="bottom"/>
            <w:hideMark/>
          </w:tcPr>
          <w:p w14:paraId="6BC4C8B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7754D65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0CAFBAE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4CA2B83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709" w:type="dxa"/>
            <w:noWrap/>
            <w:vAlign w:val="bottom"/>
            <w:hideMark/>
          </w:tcPr>
          <w:p w14:paraId="1980FC1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6</w:t>
            </w:r>
          </w:p>
        </w:tc>
        <w:tc>
          <w:tcPr>
            <w:tcW w:w="513" w:type="dxa"/>
            <w:noWrap/>
            <w:vAlign w:val="bottom"/>
            <w:hideMark/>
          </w:tcPr>
          <w:p w14:paraId="045361A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479" w:type="dxa"/>
            <w:noWrap/>
            <w:vAlign w:val="bottom"/>
            <w:hideMark/>
          </w:tcPr>
          <w:p w14:paraId="0DD6546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4</w:t>
            </w:r>
          </w:p>
        </w:tc>
        <w:tc>
          <w:tcPr>
            <w:tcW w:w="567" w:type="dxa"/>
            <w:noWrap/>
            <w:vAlign w:val="bottom"/>
            <w:hideMark/>
          </w:tcPr>
          <w:p w14:paraId="7271D71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1455E3C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3E1103E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2DD01D0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23F7249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5B425B9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1BBF867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1D9582C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0BC7E5F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0ECCFE8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48A64029" w14:textId="77777777" w:rsidTr="00106B24">
        <w:trPr>
          <w:trHeight w:val="20"/>
        </w:trPr>
        <w:tc>
          <w:tcPr>
            <w:tcW w:w="2528" w:type="dxa"/>
            <w:noWrap/>
            <w:vAlign w:val="bottom"/>
            <w:hideMark/>
          </w:tcPr>
          <w:p w14:paraId="3695DE82" w14:textId="5F3048F5"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Canberra</w:t>
            </w:r>
          </w:p>
        </w:tc>
        <w:tc>
          <w:tcPr>
            <w:tcW w:w="564" w:type="dxa"/>
            <w:noWrap/>
            <w:vAlign w:val="bottom"/>
            <w:hideMark/>
          </w:tcPr>
          <w:p w14:paraId="2E86043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665C3D1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7B9FB0E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3851A3A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567" w:type="dxa"/>
            <w:noWrap/>
            <w:vAlign w:val="bottom"/>
            <w:hideMark/>
          </w:tcPr>
          <w:p w14:paraId="2F00C1B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B15821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132BC38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10F90DD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3D94343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79A2FBC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7CA252D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A51EA6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39B91C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235011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678DD1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15C6017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831EFF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ECECA9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E3FCF9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10C871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25C5733B" w14:textId="77777777" w:rsidTr="00106B24">
        <w:trPr>
          <w:trHeight w:val="20"/>
        </w:trPr>
        <w:tc>
          <w:tcPr>
            <w:tcW w:w="2528" w:type="dxa"/>
            <w:noWrap/>
            <w:vAlign w:val="bottom"/>
            <w:hideMark/>
          </w:tcPr>
          <w:p w14:paraId="2CF84C72" w14:textId="77777777" w:rsidR="001B4353" w:rsidRPr="000F5C6F" w:rsidRDefault="001B4353" w:rsidP="00BD10C8">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New South Wales (NSW)</w:t>
            </w:r>
          </w:p>
        </w:tc>
        <w:tc>
          <w:tcPr>
            <w:tcW w:w="564" w:type="dxa"/>
            <w:noWrap/>
            <w:vAlign w:val="bottom"/>
            <w:hideMark/>
          </w:tcPr>
          <w:p w14:paraId="4C998C4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0.58</w:t>
            </w:r>
          </w:p>
        </w:tc>
        <w:tc>
          <w:tcPr>
            <w:tcW w:w="589" w:type="dxa"/>
            <w:noWrap/>
            <w:vAlign w:val="bottom"/>
            <w:hideMark/>
          </w:tcPr>
          <w:p w14:paraId="39A84C7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0.46</w:t>
            </w:r>
          </w:p>
        </w:tc>
        <w:tc>
          <w:tcPr>
            <w:tcW w:w="552" w:type="dxa"/>
            <w:noWrap/>
            <w:vAlign w:val="bottom"/>
            <w:hideMark/>
          </w:tcPr>
          <w:p w14:paraId="088AAA6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440" w:type="dxa"/>
            <w:noWrap/>
            <w:vAlign w:val="bottom"/>
            <w:hideMark/>
          </w:tcPr>
          <w:p w14:paraId="4AB71EB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0.42</w:t>
            </w:r>
          </w:p>
        </w:tc>
        <w:tc>
          <w:tcPr>
            <w:tcW w:w="567" w:type="dxa"/>
            <w:noWrap/>
            <w:vAlign w:val="bottom"/>
            <w:hideMark/>
          </w:tcPr>
          <w:p w14:paraId="6E21ECE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0.29</w:t>
            </w:r>
          </w:p>
        </w:tc>
        <w:tc>
          <w:tcPr>
            <w:tcW w:w="567" w:type="dxa"/>
            <w:noWrap/>
            <w:vAlign w:val="bottom"/>
            <w:hideMark/>
          </w:tcPr>
          <w:p w14:paraId="268B44D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0.29</w:t>
            </w:r>
          </w:p>
        </w:tc>
        <w:tc>
          <w:tcPr>
            <w:tcW w:w="567" w:type="dxa"/>
            <w:noWrap/>
            <w:vAlign w:val="bottom"/>
            <w:hideMark/>
          </w:tcPr>
          <w:p w14:paraId="47DDF3C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0.67</w:t>
            </w:r>
          </w:p>
        </w:tc>
        <w:tc>
          <w:tcPr>
            <w:tcW w:w="709" w:type="dxa"/>
            <w:noWrap/>
            <w:vAlign w:val="bottom"/>
            <w:hideMark/>
          </w:tcPr>
          <w:p w14:paraId="28DD1DA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3.04</w:t>
            </w:r>
          </w:p>
        </w:tc>
        <w:tc>
          <w:tcPr>
            <w:tcW w:w="513" w:type="dxa"/>
            <w:noWrap/>
            <w:vAlign w:val="bottom"/>
            <w:hideMark/>
          </w:tcPr>
          <w:p w14:paraId="45C7C17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0.96</w:t>
            </w:r>
          </w:p>
        </w:tc>
        <w:tc>
          <w:tcPr>
            <w:tcW w:w="479" w:type="dxa"/>
            <w:noWrap/>
            <w:vAlign w:val="bottom"/>
            <w:hideMark/>
          </w:tcPr>
          <w:p w14:paraId="1B561A1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1.17</w:t>
            </w:r>
          </w:p>
        </w:tc>
        <w:tc>
          <w:tcPr>
            <w:tcW w:w="567" w:type="dxa"/>
            <w:noWrap/>
            <w:vAlign w:val="bottom"/>
            <w:hideMark/>
          </w:tcPr>
          <w:p w14:paraId="5132F99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1.71</w:t>
            </w:r>
          </w:p>
        </w:tc>
        <w:tc>
          <w:tcPr>
            <w:tcW w:w="567" w:type="dxa"/>
            <w:noWrap/>
            <w:vAlign w:val="bottom"/>
            <w:hideMark/>
          </w:tcPr>
          <w:p w14:paraId="2B9DA93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1.08</w:t>
            </w:r>
          </w:p>
        </w:tc>
        <w:tc>
          <w:tcPr>
            <w:tcW w:w="567" w:type="dxa"/>
            <w:noWrap/>
            <w:vAlign w:val="bottom"/>
            <w:hideMark/>
          </w:tcPr>
          <w:p w14:paraId="5A706B0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0.58</w:t>
            </w:r>
          </w:p>
        </w:tc>
        <w:tc>
          <w:tcPr>
            <w:tcW w:w="567" w:type="dxa"/>
            <w:noWrap/>
            <w:vAlign w:val="bottom"/>
            <w:hideMark/>
          </w:tcPr>
          <w:p w14:paraId="25C6EE8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0.58</w:t>
            </w:r>
          </w:p>
        </w:tc>
        <w:tc>
          <w:tcPr>
            <w:tcW w:w="567" w:type="dxa"/>
            <w:noWrap/>
            <w:vAlign w:val="bottom"/>
            <w:hideMark/>
          </w:tcPr>
          <w:p w14:paraId="5BB92B4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0.67</w:t>
            </w:r>
          </w:p>
        </w:tc>
        <w:tc>
          <w:tcPr>
            <w:tcW w:w="567" w:type="dxa"/>
            <w:noWrap/>
            <w:vAlign w:val="bottom"/>
            <w:hideMark/>
          </w:tcPr>
          <w:p w14:paraId="69BDF6C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1.25</w:t>
            </w:r>
          </w:p>
        </w:tc>
        <w:tc>
          <w:tcPr>
            <w:tcW w:w="567" w:type="dxa"/>
            <w:noWrap/>
            <w:vAlign w:val="bottom"/>
            <w:hideMark/>
          </w:tcPr>
          <w:p w14:paraId="37B1A5D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3533BF4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1D3E245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7406039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0.42</w:t>
            </w:r>
          </w:p>
        </w:tc>
      </w:tr>
      <w:tr w:rsidR="00871C06" w:rsidRPr="000F5C6F" w14:paraId="2CF1AF8F" w14:textId="77777777" w:rsidTr="00106B24">
        <w:trPr>
          <w:trHeight w:val="20"/>
        </w:trPr>
        <w:tc>
          <w:tcPr>
            <w:tcW w:w="2528" w:type="dxa"/>
            <w:noWrap/>
            <w:vAlign w:val="bottom"/>
            <w:hideMark/>
          </w:tcPr>
          <w:p w14:paraId="22E26624" w14:textId="6B105624"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 xml:space="preserve">Australian College of </w:t>
            </w:r>
            <w:r w:rsidR="00871C06" w:rsidRPr="000F5C6F">
              <w:rPr>
                <w:rFonts w:ascii="Times New Roman" w:eastAsia="Times New Roman" w:hAnsi="Times New Roman" w:cs="Times New Roman"/>
                <w:color w:val="38761D"/>
                <w:lang w:val="en-AU"/>
              </w:rPr>
              <w:t>PE</w:t>
            </w:r>
          </w:p>
        </w:tc>
        <w:tc>
          <w:tcPr>
            <w:tcW w:w="564" w:type="dxa"/>
            <w:noWrap/>
            <w:vAlign w:val="bottom"/>
            <w:hideMark/>
          </w:tcPr>
          <w:p w14:paraId="6275466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481A904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3E1E73E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40" w:type="dxa"/>
            <w:noWrap/>
            <w:vAlign w:val="bottom"/>
            <w:hideMark/>
          </w:tcPr>
          <w:p w14:paraId="3151128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E41767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06A01B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DD02DC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36783D6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3DD7624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AE1B51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FED7D9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4F7C6D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094472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3797DB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6D9200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2ADEBF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541D9D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A4DE92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9F6B99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93B8F3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AEE7F66" w14:textId="77777777" w:rsidTr="00106B24">
        <w:trPr>
          <w:trHeight w:val="20"/>
        </w:trPr>
        <w:tc>
          <w:tcPr>
            <w:tcW w:w="2528" w:type="dxa"/>
            <w:noWrap/>
            <w:vAlign w:val="bottom"/>
            <w:hideMark/>
          </w:tcPr>
          <w:p w14:paraId="4EE8C97B" w14:textId="6CC5A261"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Avondale College</w:t>
            </w:r>
          </w:p>
        </w:tc>
        <w:tc>
          <w:tcPr>
            <w:tcW w:w="564" w:type="dxa"/>
            <w:noWrap/>
            <w:vAlign w:val="bottom"/>
            <w:hideMark/>
          </w:tcPr>
          <w:p w14:paraId="538646E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615BEAB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1E48F2B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6F93DD5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16A07AA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258D225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326C4C9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7FC3DC0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17DDE7B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79" w:type="dxa"/>
            <w:noWrap/>
            <w:vAlign w:val="bottom"/>
            <w:hideMark/>
          </w:tcPr>
          <w:p w14:paraId="370E4CA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3A9EF32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EE365F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4CB175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E4BF67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33B2F8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009B81B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8CC5FB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0380AA3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A0F419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6544BD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3E7156B" w14:textId="77777777" w:rsidTr="00106B24">
        <w:trPr>
          <w:trHeight w:val="20"/>
        </w:trPr>
        <w:tc>
          <w:tcPr>
            <w:tcW w:w="2528" w:type="dxa"/>
            <w:noWrap/>
            <w:vAlign w:val="bottom"/>
            <w:hideMark/>
          </w:tcPr>
          <w:p w14:paraId="0A9A5568" w14:textId="74F35474"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Charles Sturt University</w:t>
            </w:r>
          </w:p>
        </w:tc>
        <w:tc>
          <w:tcPr>
            <w:tcW w:w="564" w:type="dxa"/>
            <w:noWrap/>
            <w:vAlign w:val="bottom"/>
            <w:hideMark/>
          </w:tcPr>
          <w:p w14:paraId="5DCB391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585A1E0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143F5B0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5D94A70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AD8EFA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5F6E4B9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2556674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7EC4C19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4.5</w:t>
            </w:r>
          </w:p>
        </w:tc>
        <w:tc>
          <w:tcPr>
            <w:tcW w:w="513" w:type="dxa"/>
            <w:noWrap/>
            <w:vAlign w:val="bottom"/>
            <w:hideMark/>
          </w:tcPr>
          <w:p w14:paraId="5D43C3E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1.5</w:t>
            </w:r>
          </w:p>
        </w:tc>
        <w:tc>
          <w:tcPr>
            <w:tcW w:w="479" w:type="dxa"/>
            <w:noWrap/>
            <w:vAlign w:val="bottom"/>
            <w:hideMark/>
          </w:tcPr>
          <w:p w14:paraId="0BBF4D1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w:t>
            </w:r>
          </w:p>
        </w:tc>
        <w:tc>
          <w:tcPr>
            <w:tcW w:w="567" w:type="dxa"/>
            <w:noWrap/>
            <w:vAlign w:val="bottom"/>
            <w:hideMark/>
          </w:tcPr>
          <w:p w14:paraId="44FDFCF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1.5</w:t>
            </w:r>
          </w:p>
        </w:tc>
        <w:tc>
          <w:tcPr>
            <w:tcW w:w="567" w:type="dxa"/>
            <w:noWrap/>
            <w:vAlign w:val="bottom"/>
            <w:hideMark/>
          </w:tcPr>
          <w:p w14:paraId="5EDF839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FC870E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07A126F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4C6096A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080D5C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996A50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03453CE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23D66F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8A3184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r>
      <w:tr w:rsidR="00871C06" w:rsidRPr="000F5C6F" w14:paraId="72D12730" w14:textId="77777777" w:rsidTr="00106B24">
        <w:trPr>
          <w:trHeight w:val="20"/>
        </w:trPr>
        <w:tc>
          <w:tcPr>
            <w:tcW w:w="2528" w:type="dxa"/>
            <w:noWrap/>
            <w:vAlign w:val="bottom"/>
            <w:hideMark/>
          </w:tcPr>
          <w:p w14:paraId="532D5122" w14:textId="35FBD1AA"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Macquarie University</w:t>
            </w:r>
          </w:p>
        </w:tc>
        <w:tc>
          <w:tcPr>
            <w:tcW w:w="564" w:type="dxa"/>
            <w:noWrap/>
            <w:vAlign w:val="bottom"/>
            <w:hideMark/>
          </w:tcPr>
          <w:p w14:paraId="0C8E661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4DEF209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69C1854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4023323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14A22A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567" w:type="dxa"/>
            <w:noWrap/>
            <w:vAlign w:val="bottom"/>
            <w:hideMark/>
          </w:tcPr>
          <w:p w14:paraId="34201CC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567" w:type="dxa"/>
            <w:noWrap/>
            <w:vAlign w:val="bottom"/>
            <w:hideMark/>
          </w:tcPr>
          <w:p w14:paraId="4EFC323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3C20405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3C518FA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2000635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9EFD58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0DE61A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E53ED9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4CEE27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FD1FD6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5F3A8B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F9C732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0FFBB1D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5E2177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DAAF6F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88A8CE0" w14:textId="77777777" w:rsidTr="00106B24">
        <w:trPr>
          <w:trHeight w:val="20"/>
        </w:trPr>
        <w:tc>
          <w:tcPr>
            <w:tcW w:w="2528" w:type="dxa"/>
            <w:noWrap/>
            <w:vAlign w:val="bottom"/>
            <w:hideMark/>
          </w:tcPr>
          <w:p w14:paraId="5CD944E3" w14:textId="18A7336A"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Southern Cross University</w:t>
            </w:r>
          </w:p>
        </w:tc>
        <w:tc>
          <w:tcPr>
            <w:tcW w:w="564" w:type="dxa"/>
            <w:noWrap/>
            <w:vAlign w:val="bottom"/>
            <w:hideMark/>
          </w:tcPr>
          <w:p w14:paraId="16349A6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7B13FE0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1.5</w:t>
            </w:r>
          </w:p>
        </w:tc>
        <w:tc>
          <w:tcPr>
            <w:tcW w:w="552" w:type="dxa"/>
            <w:noWrap/>
            <w:vAlign w:val="bottom"/>
            <w:hideMark/>
          </w:tcPr>
          <w:p w14:paraId="4905AE4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79FCDD1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4BADE1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3FE7530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286812D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3BA6EAB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w:t>
            </w:r>
          </w:p>
        </w:tc>
        <w:tc>
          <w:tcPr>
            <w:tcW w:w="513" w:type="dxa"/>
            <w:noWrap/>
            <w:vAlign w:val="bottom"/>
            <w:hideMark/>
          </w:tcPr>
          <w:p w14:paraId="0D88367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3D9D687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ABD67C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2F43599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45D0F25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BECB59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2FF231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50F317D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8E6095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C021D7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831083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C140ED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6C63B713" w14:textId="77777777" w:rsidTr="00106B24">
        <w:trPr>
          <w:trHeight w:val="20"/>
        </w:trPr>
        <w:tc>
          <w:tcPr>
            <w:tcW w:w="2528" w:type="dxa"/>
            <w:noWrap/>
            <w:vAlign w:val="bottom"/>
            <w:hideMark/>
          </w:tcPr>
          <w:p w14:paraId="464B3262" w14:textId="616C1603"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New England</w:t>
            </w:r>
          </w:p>
        </w:tc>
        <w:tc>
          <w:tcPr>
            <w:tcW w:w="564" w:type="dxa"/>
            <w:noWrap/>
            <w:vAlign w:val="bottom"/>
            <w:hideMark/>
          </w:tcPr>
          <w:p w14:paraId="4DD8BE9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0F15147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36BE7F4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4526B30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8AE9EE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5E1401A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4091355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1DB94A1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w:t>
            </w:r>
          </w:p>
        </w:tc>
        <w:tc>
          <w:tcPr>
            <w:tcW w:w="513" w:type="dxa"/>
            <w:noWrap/>
            <w:vAlign w:val="bottom"/>
            <w:hideMark/>
          </w:tcPr>
          <w:p w14:paraId="685C204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w:t>
            </w:r>
          </w:p>
        </w:tc>
        <w:tc>
          <w:tcPr>
            <w:tcW w:w="479" w:type="dxa"/>
            <w:noWrap/>
            <w:vAlign w:val="bottom"/>
            <w:hideMark/>
          </w:tcPr>
          <w:p w14:paraId="314E5DE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w:t>
            </w:r>
          </w:p>
        </w:tc>
        <w:tc>
          <w:tcPr>
            <w:tcW w:w="567" w:type="dxa"/>
            <w:noWrap/>
            <w:vAlign w:val="bottom"/>
            <w:hideMark/>
          </w:tcPr>
          <w:p w14:paraId="2674CC7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67" w:type="dxa"/>
            <w:noWrap/>
            <w:vAlign w:val="bottom"/>
            <w:hideMark/>
          </w:tcPr>
          <w:p w14:paraId="69D4ECD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88FA8E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A4ED4B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2D428E6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6D5DC1C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w:t>
            </w:r>
          </w:p>
        </w:tc>
        <w:tc>
          <w:tcPr>
            <w:tcW w:w="567" w:type="dxa"/>
            <w:noWrap/>
            <w:vAlign w:val="bottom"/>
            <w:hideMark/>
          </w:tcPr>
          <w:p w14:paraId="40E10B7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67" w:type="dxa"/>
            <w:noWrap/>
            <w:vAlign w:val="bottom"/>
            <w:hideMark/>
          </w:tcPr>
          <w:p w14:paraId="148202B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AAFE81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966EB7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r>
      <w:tr w:rsidR="00871C06" w:rsidRPr="000F5C6F" w14:paraId="1405102E" w14:textId="77777777" w:rsidTr="00106B24">
        <w:trPr>
          <w:trHeight w:val="20"/>
        </w:trPr>
        <w:tc>
          <w:tcPr>
            <w:tcW w:w="2528" w:type="dxa"/>
            <w:noWrap/>
            <w:vAlign w:val="bottom"/>
            <w:hideMark/>
          </w:tcPr>
          <w:p w14:paraId="4873505C" w14:textId="0A956D40"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New South Wales</w:t>
            </w:r>
          </w:p>
        </w:tc>
        <w:tc>
          <w:tcPr>
            <w:tcW w:w="564" w:type="dxa"/>
            <w:noWrap/>
            <w:vAlign w:val="bottom"/>
            <w:hideMark/>
          </w:tcPr>
          <w:p w14:paraId="0ADEA80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1AE0B66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39C2B7E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7E15157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9E66C0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7CBEA2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14E2427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471DA65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5782B41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4C43AC7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B3B864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59C1F9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175127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351351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567" w:type="dxa"/>
            <w:noWrap/>
            <w:vAlign w:val="bottom"/>
            <w:hideMark/>
          </w:tcPr>
          <w:p w14:paraId="7D6DB9F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584556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0CD496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0E86C1E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2CA672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9E43D0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1661579" w14:textId="77777777" w:rsidTr="00106B24">
        <w:trPr>
          <w:trHeight w:val="20"/>
        </w:trPr>
        <w:tc>
          <w:tcPr>
            <w:tcW w:w="2528" w:type="dxa"/>
            <w:noWrap/>
            <w:vAlign w:val="bottom"/>
            <w:hideMark/>
          </w:tcPr>
          <w:p w14:paraId="214A6CC2" w14:textId="7E531F1D"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Newcastle</w:t>
            </w:r>
          </w:p>
        </w:tc>
        <w:tc>
          <w:tcPr>
            <w:tcW w:w="564" w:type="dxa"/>
            <w:noWrap/>
            <w:vAlign w:val="bottom"/>
            <w:hideMark/>
          </w:tcPr>
          <w:p w14:paraId="3F3B233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5AC305E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06C5E0E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7051FF6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4BF9AB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159FFE6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35F09D8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6AD7F62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7A0BBD5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2F6AA34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90655A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67" w:type="dxa"/>
            <w:noWrap/>
            <w:vAlign w:val="bottom"/>
            <w:hideMark/>
          </w:tcPr>
          <w:p w14:paraId="730FA08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67" w:type="dxa"/>
            <w:noWrap/>
            <w:vAlign w:val="bottom"/>
            <w:hideMark/>
          </w:tcPr>
          <w:p w14:paraId="398D7CB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03F611B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21314F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172B8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0ECD86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937519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A41252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03C391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2BE7E8C" w14:textId="77777777" w:rsidTr="00106B24">
        <w:trPr>
          <w:trHeight w:val="20"/>
        </w:trPr>
        <w:tc>
          <w:tcPr>
            <w:tcW w:w="2528" w:type="dxa"/>
            <w:noWrap/>
            <w:vAlign w:val="bottom"/>
            <w:hideMark/>
          </w:tcPr>
          <w:p w14:paraId="445283B2" w14:textId="55DD8C00"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Sydney</w:t>
            </w:r>
          </w:p>
        </w:tc>
        <w:tc>
          <w:tcPr>
            <w:tcW w:w="564" w:type="dxa"/>
            <w:noWrap/>
            <w:vAlign w:val="bottom"/>
            <w:hideMark/>
          </w:tcPr>
          <w:p w14:paraId="2C931B1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2283BF2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552" w:type="dxa"/>
            <w:noWrap/>
            <w:vAlign w:val="bottom"/>
            <w:hideMark/>
          </w:tcPr>
          <w:p w14:paraId="334883D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440" w:type="dxa"/>
            <w:noWrap/>
            <w:vAlign w:val="bottom"/>
            <w:hideMark/>
          </w:tcPr>
          <w:p w14:paraId="7FF7D9E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26F4F3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33F5BE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10B4B19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7F0DA21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513" w:type="dxa"/>
            <w:noWrap/>
            <w:vAlign w:val="bottom"/>
            <w:hideMark/>
          </w:tcPr>
          <w:p w14:paraId="490FCA4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7DCF1C8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D85EC4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5C6A1E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03F198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FC22ED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8D060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82C9B9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25A15C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501201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7382AA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0C939E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42250806" w14:textId="77777777" w:rsidTr="00106B24">
        <w:trPr>
          <w:trHeight w:val="20"/>
        </w:trPr>
        <w:tc>
          <w:tcPr>
            <w:tcW w:w="2528" w:type="dxa"/>
            <w:noWrap/>
            <w:vAlign w:val="bottom"/>
            <w:hideMark/>
          </w:tcPr>
          <w:p w14:paraId="7109ACD4" w14:textId="2F50CE91"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Technology</w:t>
            </w:r>
          </w:p>
        </w:tc>
        <w:tc>
          <w:tcPr>
            <w:tcW w:w="564" w:type="dxa"/>
            <w:noWrap/>
            <w:vAlign w:val="bottom"/>
            <w:hideMark/>
          </w:tcPr>
          <w:p w14:paraId="1B38376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56B243F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0FE5EA2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0255372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1A30E01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011391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0FC8A97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201ACA5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3ED26D9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29C1F8F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179ED4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D90C82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65BA10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43DD5C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33FD2C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52868DD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EFD222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013842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7C204D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94188A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391D6473" w14:textId="77777777" w:rsidTr="00106B24">
        <w:trPr>
          <w:trHeight w:val="20"/>
        </w:trPr>
        <w:tc>
          <w:tcPr>
            <w:tcW w:w="2528" w:type="dxa"/>
            <w:noWrap/>
            <w:vAlign w:val="bottom"/>
            <w:hideMark/>
          </w:tcPr>
          <w:p w14:paraId="21B1AA58" w14:textId="4A116019" w:rsidR="001B4353" w:rsidRPr="000F5C6F" w:rsidRDefault="001B4353" w:rsidP="00BD10C8">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lastRenderedPageBreak/>
              <w:t>Western Sydney University</w:t>
            </w:r>
          </w:p>
        </w:tc>
        <w:tc>
          <w:tcPr>
            <w:tcW w:w="564" w:type="dxa"/>
            <w:noWrap/>
            <w:vAlign w:val="bottom"/>
            <w:hideMark/>
          </w:tcPr>
          <w:p w14:paraId="37E0B57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429EFC6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552" w:type="dxa"/>
            <w:noWrap/>
            <w:vAlign w:val="bottom"/>
            <w:hideMark/>
          </w:tcPr>
          <w:p w14:paraId="684621F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440" w:type="dxa"/>
            <w:noWrap/>
            <w:vAlign w:val="bottom"/>
            <w:hideMark/>
          </w:tcPr>
          <w:p w14:paraId="6592923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430047B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7CCCC58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56C2716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7C867B6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4E37F9B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5474251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6C0D3D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E8C37E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448528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5921FA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D59FD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B60CD7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BB8604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B53286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041439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2C9F73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32699D7C" w14:textId="77777777" w:rsidTr="00106B24">
        <w:trPr>
          <w:trHeight w:val="20"/>
        </w:trPr>
        <w:tc>
          <w:tcPr>
            <w:tcW w:w="2528" w:type="dxa"/>
            <w:noWrap/>
            <w:vAlign w:val="bottom"/>
            <w:hideMark/>
          </w:tcPr>
          <w:p w14:paraId="37A37275" w14:textId="17A08D9B"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Wollongong</w:t>
            </w:r>
          </w:p>
        </w:tc>
        <w:tc>
          <w:tcPr>
            <w:tcW w:w="564" w:type="dxa"/>
            <w:noWrap/>
            <w:vAlign w:val="bottom"/>
            <w:hideMark/>
          </w:tcPr>
          <w:p w14:paraId="146AD4D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6172EF0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1148B39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2D1F603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7BB9B3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33F4AE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0E294E4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61AD6CE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5538F6E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5659D5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652ECA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64C88E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12D948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CA90F1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CB4905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61323A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74C0F7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BFA38D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963B6F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16F35A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30787E0" w14:textId="77777777" w:rsidTr="00106B24">
        <w:trPr>
          <w:trHeight w:val="20"/>
        </w:trPr>
        <w:tc>
          <w:tcPr>
            <w:tcW w:w="2528" w:type="dxa"/>
            <w:noWrap/>
            <w:vAlign w:val="bottom"/>
            <w:hideMark/>
          </w:tcPr>
          <w:p w14:paraId="18CB6DC6" w14:textId="77777777" w:rsidR="001B4353" w:rsidRPr="000F5C6F" w:rsidRDefault="001B4353" w:rsidP="00901BF2">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Northern Territory (NT)</w:t>
            </w:r>
          </w:p>
        </w:tc>
        <w:tc>
          <w:tcPr>
            <w:tcW w:w="564" w:type="dxa"/>
            <w:noWrap/>
            <w:vAlign w:val="bottom"/>
            <w:hideMark/>
          </w:tcPr>
          <w:p w14:paraId="4F3F029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89" w:type="dxa"/>
            <w:noWrap/>
            <w:vAlign w:val="bottom"/>
            <w:hideMark/>
          </w:tcPr>
          <w:p w14:paraId="3F536DD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52" w:type="dxa"/>
            <w:noWrap/>
            <w:vAlign w:val="bottom"/>
            <w:hideMark/>
          </w:tcPr>
          <w:p w14:paraId="7EAA9FA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440" w:type="dxa"/>
            <w:noWrap/>
            <w:vAlign w:val="bottom"/>
            <w:hideMark/>
          </w:tcPr>
          <w:p w14:paraId="72BBF13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2F215DC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2E17D8A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63DEBF4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709" w:type="dxa"/>
            <w:noWrap/>
            <w:vAlign w:val="bottom"/>
            <w:hideMark/>
          </w:tcPr>
          <w:p w14:paraId="735CED5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15</w:t>
            </w:r>
          </w:p>
        </w:tc>
        <w:tc>
          <w:tcPr>
            <w:tcW w:w="513" w:type="dxa"/>
            <w:noWrap/>
            <w:vAlign w:val="bottom"/>
            <w:hideMark/>
          </w:tcPr>
          <w:p w14:paraId="4F0B228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479" w:type="dxa"/>
            <w:noWrap/>
            <w:vAlign w:val="bottom"/>
            <w:hideMark/>
          </w:tcPr>
          <w:p w14:paraId="7938D77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14AF713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2997E5D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35910D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AE7061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1BE20E0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A4102A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3B10826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0367CEA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06F0A8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7EF473B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5BB16B53" w14:textId="77777777" w:rsidTr="00106B24">
        <w:trPr>
          <w:trHeight w:val="20"/>
        </w:trPr>
        <w:tc>
          <w:tcPr>
            <w:tcW w:w="2528" w:type="dxa"/>
            <w:noWrap/>
            <w:vAlign w:val="bottom"/>
            <w:hideMark/>
          </w:tcPr>
          <w:p w14:paraId="52F45AF0" w14:textId="056523B7"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Charles Darwin University</w:t>
            </w:r>
          </w:p>
        </w:tc>
        <w:tc>
          <w:tcPr>
            <w:tcW w:w="564" w:type="dxa"/>
            <w:noWrap/>
            <w:vAlign w:val="bottom"/>
            <w:hideMark/>
          </w:tcPr>
          <w:p w14:paraId="03519CB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6CF67FD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4793F12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40" w:type="dxa"/>
            <w:noWrap/>
            <w:vAlign w:val="bottom"/>
            <w:hideMark/>
          </w:tcPr>
          <w:p w14:paraId="1197CBB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76F4E8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4244E1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0FD5637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08547C4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15</w:t>
            </w:r>
          </w:p>
        </w:tc>
        <w:tc>
          <w:tcPr>
            <w:tcW w:w="513" w:type="dxa"/>
            <w:noWrap/>
            <w:vAlign w:val="bottom"/>
            <w:hideMark/>
          </w:tcPr>
          <w:p w14:paraId="2C31942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050D718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FC8842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A82DD0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9654D8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E5CDA2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B29483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9C4DF4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0B619C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506EA1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54F3A3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B78285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A4DD4A5" w14:textId="77777777" w:rsidTr="00106B24">
        <w:trPr>
          <w:trHeight w:val="20"/>
        </w:trPr>
        <w:tc>
          <w:tcPr>
            <w:tcW w:w="2528" w:type="dxa"/>
            <w:noWrap/>
            <w:vAlign w:val="bottom"/>
            <w:hideMark/>
          </w:tcPr>
          <w:p w14:paraId="406F2C70" w14:textId="77777777" w:rsidR="001B4353" w:rsidRPr="000F5C6F" w:rsidRDefault="001B4353" w:rsidP="00901BF2">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Queensland (QLD)</w:t>
            </w:r>
          </w:p>
        </w:tc>
        <w:tc>
          <w:tcPr>
            <w:tcW w:w="564" w:type="dxa"/>
            <w:noWrap/>
            <w:vAlign w:val="bottom"/>
            <w:hideMark/>
          </w:tcPr>
          <w:p w14:paraId="0408A40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0.69</w:t>
            </w:r>
          </w:p>
        </w:tc>
        <w:tc>
          <w:tcPr>
            <w:tcW w:w="589" w:type="dxa"/>
            <w:noWrap/>
            <w:vAlign w:val="bottom"/>
            <w:hideMark/>
          </w:tcPr>
          <w:p w14:paraId="5A88494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0.69</w:t>
            </w:r>
          </w:p>
        </w:tc>
        <w:tc>
          <w:tcPr>
            <w:tcW w:w="552" w:type="dxa"/>
            <w:noWrap/>
            <w:vAlign w:val="bottom"/>
            <w:hideMark/>
          </w:tcPr>
          <w:p w14:paraId="396FE1E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0.63</w:t>
            </w:r>
          </w:p>
        </w:tc>
        <w:tc>
          <w:tcPr>
            <w:tcW w:w="440" w:type="dxa"/>
            <w:noWrap/>
            <w:vAlign w:val="bottom"/>
            <w:hideMark/>
          </w:tcPr>
          <w:p w14:paraId="1439AB0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036375D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0.31</w:t>
            </w:r>
          </w:p>
        </w:tc>
        <w:tc>
          <w:tcPr>
            <w:tcW w:w="567" w:type="dxa"/>
            <w:noWrap/>
            <w:vAlign w:val="bottom"/>
            <w:hideMark/>
          </w:tcPr>
          <w:p w14:paraId="19ACF02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0.31</w:t>
            </w:r>
          </w:p>
        </w:tc>
        <w:tc>
          <w:tcPr>
            <w:tcW w:w="567" w:type="dxa"/>
            <w:noWrap/>
            <w:vAlign w:val="bottom"/>
            <w:hideMark/>
          </w:tcPr>
          <w:p w14:paraId="1A85FEB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0.56</w:t>
            </w:r>
          </w:p>
        </w:tc>
        <w:tc>
          <w:tcPr>
            <w:tcW w:w="709" w:type="dxa"/>
            <w:noWrap/>
            <w:vAlign w:val="bottom"/>
            <w:hideMark/>
          </w:tcPr>
          <w:p w14:paraId="218926D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3</w:t>
            </w:r>
          </w:p>
        </w:tc>
        <w:tc>
          <w:tcPr>
            <w:tcW w:w="513" w:type="dxa"/>
            <w:noWrap/>
            <w:vAlign w:val="bottom"/>
            <w:hideMark/>
          </w:tcPr>
          <w:p w14:paraId="25A4E69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0.63</w:t>
            </w:r>
          </w:p>
        </w:tc>
        <w:tc>
          <w:tcPr>
            <w:tcW w:w="479" w:type="dxa"/>
            <w:noWrap/>
            <w:vAlign w:val="bottom"/>
            <w:hideMark/>
          </w:tcPr>
          <w:p w14:paraId="422E334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0.75</w:t>
            </w:r>
          </w:p>
        </w:tc>
        <w:tc>
          <w:tcPr>
            <w:tcW w:w="567" w:type="dxa"/>
            <w:noWrap/>
            <w:vAlign w:val="bottom"/>
            <w:hideMark/>
          </w:tcPr>
          <w:p w14:paraId="0172D6A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0.63</w:t>
            </w:r>
          </w:p>
        </w:tc>
        <w:tc>
          <w:tcPr>
            <w:tcW w:w="567" w:type="dxa"/>
            <w:noWrap/>
            <w:vAlign w:val="bottom"/>
            <w:hideMark/>
          </w:tcPr>
          <w:p w14:paraId="2DA1C20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319D359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0.75</w:t>
            </w:r>
          </w:p>
        </w:tc>
        <w:tc>
          <w:tcPr>
            <w:tcW w:w="567" w:type="dxa"/>
            <w:noWrap/>
            <w:vAlign w:val="bottom"/>
            <w:hideMark/>
          </w:tcPr>
          <w:p w14:paraId="771E169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5856A06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0E5447F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1.75</w:t>
            </w:r>
          </w:p>
        </w:tc>
        <w:tc>
          <w:tcPr>
            <w:tcW w:w="567" w:type="dxa"/>
            <w:noWrap/>
            <w:vAlign w:val="bottom"/>
            <w:hideMark/>
          </w:tcPr>
          <w:p w14:paraId="525A941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77EF443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0.75</w:t>
            </w:r>
          </w:p>
        </w:tc>
        <w:tc>
          <w:tcPr>
            <w:tcW w:w="567" w:type="dxa"/>
            <w:noWrap/>
            <w:vAlign w:val="bottom"/>
            <w:hideMark/>
          </w:tcPr>
          <w:p w14:paraId="3119BFD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43E243B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25C4F5FD" w14:textId="77777777" w:rsidTr="00106B24">
        <w:trPr>
          <w:trHeight w:val="20"/>
        </w:trPr>
        <w:tc>
          <w:tcPr>
            <w:tcW w:w="2528" w:type="dxa"/>
            <w:noWrap/>
            <w:vAlign w:val="bottom"/>
            <w:hideMark/>
          </w:tcPr>
          <w:p w14:paraId="76E3AB1C" w14:textId="1417E3FF"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 xml:space="preserve">Central Queensland University </w:t>
            </w:r>
          </w:p>
        </w:tc>
        <w:tc>
          <w:tcPr>
            <w:tcW w:w="564" w:type="dxa"/>
            <w:noWrap/>
            <w:vAlign w:val="bottom"/>
            <w:hideMark/>
          </w:tcPr>
          <w:p w14:paraId="172843F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7EC418B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43F446D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40" w:type="dxa"/>
            <w:noWrap/>
            <w:vAlign w:val="bottom"/>
            <w:hideMark/>
          </w:tcPr>
          <w:p w14:paraId="0D4DBE5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A8B86C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55BDD66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ED73F7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52AA1FA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638D33B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3B04E7F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643C05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03628F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8CD518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7BDC02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581414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AB31C7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457AD8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2A861E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0C13A5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FE881B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4DE5631" w14:textId="77777777" w:rsidTr="00106B24">
        <w:trPr>
          <w:trHeight w:val="20"/>
        </w:trPr>
        <w:tc>
          <w:tcPr>
            <w:tcW w:w="2528" w:type="dxa"/>
            <w:noWrap/>
            <w:vAlign w:val="bottom"/>
            <w:hideMark/>
          </w:tcPr>
          <w:p w14:paraId="101DC0B5" w14:textId="7392702C"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 xml:space="preserve">Christian Heritage College </w:t>
            </w:r>
          </w:p>
        </w:tc>
        <w:tc>
          <w:tcPr>
            <w:tcW w:w="564" w:type="dxa"/>
            <w:noWrap/>
            <w:vAlign w:val="bottom"/>
            <w:hideMark/>
          </w:tcPr>
          <w:p w14:paraId="6076926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89" w:type="dxa"/>
            <w:noWrap/>
            <w:vAlign w:val="bottom"/>
            <w:hideMark/>
          </w:tcPr>
          <w:p w14:paraId="3FDB718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609F286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40" w:type="dxa"/>
            <w:noWrap/>
            <w:vAlign w:val="bottom"/>
            <w:hideMark/>
          </w:tcPr>
          <w:p w14:paraId="54DDC18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A55FDC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2FF6B6A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26CA174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709" w:type="dxa"/>
            <w:noWrap/>
            <w:vAlign w:val="bottom"/>
            <w:hideMark/>
          </w:tcPr>
          <w:p w14:paraId="31ED081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6D5C44C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7C6774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3D9DC0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DB6D4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7FB5FF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9D11D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C17AA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68A6E6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7BAF4D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A4FD84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4285B5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B4583C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7647F544" w14:textId="77777777" w:rsidTr="00106B24">
        <w:trPr>
          <w:trHeight w:val="20"/>
        </w:trPr>
        <w:tc>
          <w:tcPr>
            <w:tcW w:w="2528" w:type="dxa"/>
            <w:noWrap/>
            <w:vAlign w:val="bottom"/>
            <w:hideMark/>
          </w:tcPr>
          <w:p w14:paraId="709D8644" w14:textId="53E62D36"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Griffith University</w:t>
            </w:r>
          </w:p>
        </w:tc>
        <w:tc>
          <w:tcPr>
            <w:tcW w:w="564" w:type="dxa"/>
            <w:noWrap/>
            <w:vAlign w:val="bottom"/>
            <w:hideMark/>
          </w:tcPr>
          <w:p w14:paraId="6634D13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134A339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20AB270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6105810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B33AD9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7896DDE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ECBF0A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00DB71A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7DA42F1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1EAE94B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A8CFBE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DA81C8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55AC0C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5A18CF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1AAE72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472BF2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11CEC6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DA6EB9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7A8B91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ED1EB9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63C5E875" w14:textId="77777777" w:rsidTr="00106B24">
        <w:trPr>
          <w:trHeight w:val="20"/>
        </w:trPr>
        <w:tc>
          <w:tcPr>
            <w:tcW w:w="2528" w:type="dxa"/>
            <w:noWrap/>
            <w:vAlign w:val="bottom"/>
            <w:hideMark/>
          </w:tcPr>
          <w:p w14:paraId="419923BF" w14:textId="406159BE"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James Cook University</w:t>
            </w:r>
          </w:p>
        </w:tc>
        <w:tc>
          <w:tcPr>
            <w:tcW w:w="564" w:type="dxa"/>
            <w:noWrap/>
            <w:vAlign w:val="bottom"/>
            <w:hideMark/>
          </w:tcPr>
          <w:p w14:paraId="2AFD1B8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4B16967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3C96129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645404C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647D23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C58108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97EB34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7CB0996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1DF948B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7F66DDD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85A0AC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15D383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0422C0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59F320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74E0BB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6823F33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635BA3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6352C1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0E947F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07AD83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67FB4AC2" w14:textId="77777777" w:rsidTr="00106B24">
        <w:trPr>
          <w:trHeight w:val="20"/>
        </w:trPr>
        <w:tc>
          <w:tcPr>
            <w:tcW w:w="2528" w:type="dxa"/>
            <w:noWrap/>
            <w:vAlign w:val="bottom"/>
            <w:hideMark/>
          </w:tcPr>
          <w:p w14:paraId="3A73C3F8" w14:textId="1E05AA71" w:rsidR="001B4353" w:rsidRPr="000F5C6F" w:rsidRDefault="00871C06"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QUT</w:t>
            </w:r>
          </w:p>
        </w:tc>
        <w:tc>
          <w:tcPr>
            <w:tcW w:w="564" w:type="dxa"/>
            <w:noWrap/>
            <w:vAlign w:val="bottom"/>
            <w:hideMark/>
          </w:tcPr>
          <w:p w14:paraId="0631D76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4121BA9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45FF74A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742B80B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3F6AA7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8F6DFA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1EF525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353624A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7927EC3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B9E990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E619CA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1C376D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2B36E4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89A4E8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2C3FF8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42F313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17EF96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F32744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0DA49B4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EE6669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2E3176D0" w14:textId="77777777" w:rsidTr="00106B24">
        <w:trPr>
          <w:trHeight w:val="20"/>
        </w:trPr>
        <w:tc>
          <w:tcPr>
            <w:tcW w:w="2528" w:type="dxa"/>
            <w:noWrap/>
            <w:vAlign w:val="bottom"/>
            <w:hideMark/>
          </w:tcPr>
          <w:p w14:paraId="2E6FD775" w14:textId="5A6869FF"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Queensland</w:t>
            </w:r>
          </w:p>
        </w:tc>
        <w:tc>
          <w:tcPr>
            <w:tcW w:w="564" w:type="dxa"/>
            <w:noWrap/>
            <w:vAlign w:val="bottom"/>
            <w:hideMark/>
          </w:tcPr>
          <w:p w14:paraId="13A97B5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89" w:type="dxa"/>
            <w:noWrap/>
            <w:vAlign w:val="bottom"/>
            <w:hideMark/>
          </w:tcPr>
          <w:p w14:paraId="67ECCE2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02ACC3E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38E4F8D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32B549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7058A80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1431F9F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5C4F5D3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6BB7AA5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00EE7F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6E6655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FC9CC2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BAA326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B5CC71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14F0BE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089A15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AFF9EC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B7B5B8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674755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CC7205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36108C78" w14:textId="77777777" w:rsidTr="00106B24">
        <w:trPr>
          <w:trHeight w:val="20"/>
        </w:trPr>
        <w:tc>
          <w:tcPr>
            <w:tcW w:w="2528" w:type="dxa"/>
            <w:noWrap/>
            <w:vAlign w:val="bottom"/>
            <w:hideMark/>
          </w:tcPr>
          <w:p w14:paraId="3AA7DA1C" w14:textId="5043DBAA" w:rsidR="001B4353" w:rsidRPr="000F5C6F" w:rsidRDefault="00871C06"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USQ</w:t>
            </w:r>
          </w:p>
        </w:tc>
        <w:tc>
          <w:tcPr>
            <w:tcW w:w="564" w:type="dxa"/>
            <w:noWrap/>
            <w:vAlign w:val="bottom"/>
            <w:hideMark/>
          </w:tcPr>
          <w:p w14:paraId="5467482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89" w:type="dxa"/>
            <w:noWrap/>
            <w:vAlign w:val="bottom"/>
            <w:hideMark/>
          </w:tcPr>
          <w:p w14:paraId="1946D94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4E0B4B7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225B150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B42B6F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971DA2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4FCADB6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344F614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64537B0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79" w:type="dxa"/>
            <w:noWrap/>
            <w:vAlign w:val="bottom"/>
            <w:hideMark/>
          </w:tcPr>
          <w:p w14:paraId="71A3385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DB482E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10E749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29C9AA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CE6D16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DFC9EE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F69FEF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067B9F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655862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A086F1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099C46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19B50A83" w14:textId="77777777" w:rsidTr="00106B24">
        <w:trPr>
          <w:trHeight w:val="20"/>
        </w:trPr>
        <w:tc>
          <w:tcPr>
            <w:tcW w:w="2528" w:type="dxa"/>
            <w:noWrap/>
            <w:vAlign w:val="bottom"/>
            <w:hideMark/>
          </w:tcPr>
          <w:p w14:paraId="33E9A465" w14:textId="345DC9C0" w:rsidR="001B4353" w:rsidRPr="000F5C6F" w:rsidRDefault="00871C06"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USC</w:t>
            </w:r>
          </w:p>
        </w:tc>
        <w:tc>
          <w:tcPr>
            <w:tcW w:w="564" w:type="dxa"/>
            <w:noWrap/>
            <w:vAlign w:val="bottom"/>
            <w:hideMark/>
          </w:tcPr>
          <w:p w14:paraId="2554978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3944D70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20FAE77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548F711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DF3430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185FF13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33B573E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532BD26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5333E52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8EAEF4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EB003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D73198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3A69BE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9B769D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C64728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489ECC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A4D31F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E826F8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CFD5AB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E8D319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7B911695" w14:textId="77777777" w:rsidTr="00106B24">
        <w:trPr>
          <w:trHeight w:val="20"/>
        </w:trPr>
        <w:tc>
          <w:tcPr>
            <w:tcW w:w="2528" w:type="dxa"/>
            <w:noWrap/>
            <w:vAlign w:val="bottom"/>
            <w:hideMark/>
          </w:tcPr>
          <w:p w14:paraId="5160F917" w14:textId="77777777" w:rsidR="001B4353" w:rsidRPr="000F5C6F" w:rsidRDefault="001B4353" w:rsidP="00901BF2">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South Australia (SA)</w:t>
            </w:r>
          </w:p>
        </w:tc>
        <w:tc>
          <w:tcPr>
            <w:tcW w:w="564" w:type="dxa"/>
            <w:noWrap/>
            <w:vAlign w:val="bottom"/>
            <w:hideMark/>
          </w:tcPr>
          <w:p w14:paraId="1040B55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89" w:type="dxa"/>
            <w:noWrap/>
            <w:vAlign w:val="bottom"/>
            <w:hideMark/>
          </w:tcPr>
          <w:p w14:paraId="1D7A414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52" w:type="dxa"/>
            <w:noWrap/>
            <w:vAlign w:val="bottom"/>
            <w:hideMark/>
          </w:tcPr>
          <w:p w14:paraId="7626CC6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440" w:type="dxa"/>
            <w:noWrap/>
            <w:vAlign w:val="bottom"/>
            <w:hideMark/>
          </w:tcPr>
          <w:p w14:paraId="497C918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0.13</w:t>
            </w:r>
          </w:p>
        </w:tc>
        <w:tc>
          <w:tcPr>
            <w:tcW w:w="567" w:type="dxa"/>
            <w:noWrap/>
            <w:vAlign w:val="bottom"/>
            <w:hideMark/>
          </w:tcPr>
          <w:p w14:paraId="4AE83A5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0.13</w:t>
            </w:r>
          </w:p>
        </w:tc>
        <w:tc>
          <w:tcPr>
            <w:tcW w:w="567" w:type="dxa"/>
            <w:noWrap/>
            <w:vAlign w:val="bottom"/>
            <w:hideMark/>
          </w:tcPr>
          <w:p w14:paraId="4A13FCD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67" w:type="dxa"/>
            <w:noWrap/>
            <w:vAlign w:val="bottom"/>
            <w:hideMark/>
          </w:tcPr>
          <w:p w14:paraId="7BD6C18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709" w:type="dxa"/>
            <w:noWrap/>
            <w:vAlign w:val="bottom"/>
            <w:hideMark/>
          </w:tcPr>
          <w:p w14:paraId="78CA5B0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5.5</w:t>
            </w:r>
          </w:p>
        </w:tc>
        <w:tc>
          <w:tcPr>
            <w:tcW w:w="513" w:type="dxa"/>
            <w:noWrap/>
            <w:vAlign w:val="bottom"/>
            <w:hideMark/>
          </w:tcPr>
          <w:p w14:paraId="06144F8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0.81</w:t>
            </w:r>
          </w:p>
        </w:tc>
        <w:tc>
          <w:tcPr>
            <w:tcW w:w="479" w:type="dxa"/>
            <w:noWrap/>
            <w:vAlign w:val="bottom"/>
            <w:hideMark/>
          </w:tcPr>
          <w:p w14:paraId="543CACD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0.56</w:t>
            </w:r>
          </w:p>
        </w:tc>
        <w:tc>
          <w:tcPr>
            <w:tcW w:w="567" w:type="dxa"/>
            <w:noWrap/>
            <w:vAlign w:val="bottom"/>
            <w:hideMark/>
          </w:tcPr>
          <w:p w14:paraId="36C06F8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3.06</w:t>
            </w:r>
          </w:p>
        </w:tc>
        <w:tc>
          <w:tcPr>
            <w:tcW w:w="567" w:type="dxa"/>
            <w:noWrap/>
            <w:vAlign w:val="bottom"/>
            <w:hideMark/>
          </w:tcPr>
          <w:p w14:paraId="0F84693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0.56</w:t>
            </w:r>
          </w:p>
        </w:tc>
        <w:tc>
          <w:tcPr>
            <w:tcW w:w="567" w:type="dxa"/>
            <w:noWrap/>
            <w:vAlign w:val="bottom"/>
            <w:hideMark/>
          </w:tcPr>
          <w:p w14:paraId="65C41EA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2FD963D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1D8AB5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3031055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63A695F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67" w:type="dxa"/>
            <w:noWrap/>
            <w:vAlign w:val="bottom"/>
            <w:hideMark/>
          </w:tcPr>
          <w:p w14:paraId="08D35FB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0.13</w:t>
            </w:r>
          </w:p>
        </w:tc>
        <w:tc>
          <w:tcPr>
            <w:tcW w:w="567" w:type="dxa"/>
            <w:noWrap/>
            <w:vAlign w:val="bottom"/>
            <w:hideMark/>
          </w:tcPr>
          <w:p w14:paraId="300C0AE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590A4F4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2B8CB186" w14:textId="77777777" w:rsidTr="00106B24">
        <w:trPr>
          <w:trHeight w:val="20"/>
        </w:trPr>
        <w:tc>
          <w:tcPr>
            <w:tcW w:w="2528" w:type="dxa"/>
            <w:noWrap/>
            <w:vAlign w:val="bottom"/>
            <w:hideMark/>
          </w:tcPr>
          <w:p w14:paraId="081C5BA0" w14:textId="0D11A484"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Flinders University</w:t>
            </w:r>
          </w:p>
        </w:tc>
        <w:tc>
          <w:tcPr>
            <w:tcW w:w="564" w:type="dxa"/>
            <w:noWrap/>
            <w:vAlign w:val="bottom"/>
            <w:hideMark/>
          </w:tcPr>
          <w:p w14:paraId="42F3C89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1D631CE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7E59824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4AE85B0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EF9D97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218789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FD7ABF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6FEE3FB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220FF0E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79" w:type="dxa"/>
            <w:noWrap/>
            <w:vAlign w:val="bottom"/>
            <w:hideMark/>
          </w:tcPr>
          <w:p w14:paraId="589AA80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402C54D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7FC0204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08A287D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E42840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8D08FA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34231A6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1B9F35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15B8EA0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1F6184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90F506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6D84F2AD" w14:textId="77777777" w:rsidTr="00106B24">
        <w:trPr>
          <w:trHeight w:val="20"/>
        </w:trPr>
        <w:tc>
          <w:tcPr>
            <w:tcW w:w="2528" w:type="dxa"/>
            <w:noWrap/>
            <w:vAlign w:val="bottom"/>
            <w:hideMark/>
          </w:tcPr>
          <w:p w14:paraId="4F83324D" w14:textId="78E126A7"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Tabor Adelaide</w:t>
            </w:r>
          </w:p>
        </w:tc>
        <w:tc>
          <w:tcPr>
            <w:tcW w:w="564" w:type="dxa"/>
            <w:noWrap/>
            <w:vAlign w:val="bottom"/>
            <w:hideMark/>
          </w:tcPr>
          <w:p w14:paraId="772D9EE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2C3598C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1F31C46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5348AEA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660696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BB935A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B4BB38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523287B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778E9E9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3567493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670CA1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00527D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0D68DB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207962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818F70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0C936E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24C560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58DD63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3D5EC26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754065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D0243AC" w14:textId="77777777" w:rsidTr="00106B24">
        <w:trPr>
          <w:trHeight w:val="20"/>
        </w:trPr>
        <w:tc>
          <w:tcPr>
            <w:tcW w:w="2528" w:type="dxa"/>
            <w:noWrap/>
            <w:vAlign w:val="bottom"/>
            <w:hideMark/>
          </w:tcPr>
          <w:p w14:paraId="205ECF69" w14:textId="7094D88A"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Adelaide</w:t>
            </w:r>
          </w:p>
        </w:tc>
        <w:tc>
          <w:tcPr>
            <w:tcW w:w="564" w:type="dxa"/>
            <w:noWrap/>
            <w:vAlign w:val="bottom"/>
            <w:hideMark/>
          </w:tcPr>
          <w:p w14:paraId="7047ACA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08B7AE1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099F0C1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40" w:type="dxa"/>
            <w:noWrap/>
            <w:vAlign w:val="bottom"/>
            <w:hideMark/>
          </w:tcPr>
          <w:p w14:paraId="359E9BE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0CEC6F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B34BA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46AAE7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3BB4192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w:t>
            </w:r>
          </w:p>
        </w:tc>
        <w:tc>
          <w:tcPr>
            <w:tcW w:w="513" w:type="dxa"/>
            <w:noWrap/>
            <w:vAlign w:val="bottom"/>
            <w:hideMark/>
          </w:tcPr>
          <w:p w14:paraId="07357B7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79" w:type="dxa"/>
            <w:noWrap/>
            <w:vAlign w:val="bottom"/>
            <w:hideMark/>
          </w:tcPr>
          <w:p w14:paraId="29CEEBC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23755A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w:t>
            </w:r>
          </w:p>
        </w:tc>
        <w:tc>
          <w:tcPr>
            <w:tcW w:w="567" w:type="dxa"/>
            <w:noWrap/>
            <w:vAlign w:val="bottom"/>
            <w:hideMark/>
          </w:tcPr>
          <w:p w14:paraId="1FDDE24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E3D916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AFF4F2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F8CF40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D7B388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4B33F6C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238FB79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B8300A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BBC2C7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4C502770" w14:textId="77777777" w:rsidTr="00106B24">
        <w:trPr>
          <w:trHeight w:val="20"/>
        </w:trPr>
        <w:tc>
          <w:tcPr>
            <w:tcW w:w="2528" w:type="dxa"/>
            <w:noWrap/>
            <w:vAlign w:val="bottom"/>
            <w:hideMark/>
          </w:tcPr>
          <w:p w14:paraId="2AEAD5AF" w14:textId="19441A59"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South Australia</w:t>
            </w:r>
          </w:p>
        </w:tc>
        <w:tc>
          <w:tcPr>
            <w:tcW w:w="564" w:type="dxa"/>
            <w:noWrap/>
            <w:vAlign w:val="bottom"/>
            <w:hideMark/>
          </w:tcPr>
          <w:p w14:paraId="0E1456E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3D564B2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328D3D2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6F70E1C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89287D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08729A1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2F8DA99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68B0B64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5E4E0EF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73A0407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5D6EEC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0193FDD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57D48D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2603AF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0C4144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D4ABC7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72CDE7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F5EA49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CDDF5C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A2A857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9D44E17" w14:textId="77777777" w:rsidTr="00106B24">
        <w:trPr>
          <w:trHeight w:val="20"/>
        </w:trPr>
        <w:tc>
          <w:tcPr>
            <w:tcW w:w="2528" w:type="dxa"/>
            <w:noWrap/>
            <w:vAlign w:val="bottom"/>
            <w:hideMark/>
          </w:tcPr>
          <w:p w14:paraId="3A05C67C" w14:textId="77777777" w:rsidR="001B4353" w:rsidRPr="000F5C6F" w:rsidRDefault="001B4353" w:rsidP="00901BF2">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Tasmania (TAS)</w:t>
            </w:r>
          </w:p>
        </w:tc>
        <w:tc>
          <w:tcPr>
            <w:tcW w:w="564" w:type="dxa"/>
            <w:noWrap/>
            <w:vAlign w:val="bottom"/>
            <w:hideMark/>
          </w:tcPr>
          <w:p w14:paraId="0A9C51E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89" w:type="dxa"/>
            <w:noWrap/>
            <w:vAlign w:val="bottom"/>
            <w:hideMark/>
          </w:tcPr>
          <w:p w14:paraId="29FDB52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52" w:type="dxa"/>
            <w:noWrap/>
            <w:vAlign w:val="bottom"/>
            <w:hideMark/>
          </w:tcPr>
          <w:p w14:paraId="051B442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440" w:type="dxa"/>
            <w:noWrap/>
            <w:vAlign w:val="bottom"/>
            <w:hideMark/>
          </w:tcPr>
          <w:p w14:paraId="0213563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3ADFCDC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36E63BE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39954AB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709" w:type="dxa"/>
            <w:noWrap/>
            <w:vAlign w:val="bottom"/>
            <w:hideMark/>
          </w:tcPr>
          <w:p w14:paraId="2F6005A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13" w:type="dxa"/>
            <w:noWrap/>
            <w:vAlign w:val="bottom"/>
            <w:hideMark/>
          </w:tcPr>
          <w:p w14:paraId="11C4BF5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479" w:type="dxa"/>
            <w:noWrap/>
            <w:vAlign w:val="bottom"/>
            <w:hideMark/>
          </w:tcPr>
          <w:p w14:paraId="43ED3BE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7F1F075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6468B3C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1FC67F3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1D0C10B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72EB0AB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3E07B39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881E49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3A2BB0A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3923CB4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2D3B5FB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59756B72" w14:textId="77777777" w:rsidTr="00106B24">
        <w:trPr>
          <w:trHeight w:val="20"/>
        </w:trPr>
        <w:tc>
          <w:tcPr>
            <w:tcW w:w="2528" w:type="dxa"/>
            <w:noWrap/>
            <w:vAlign w:val="bottom"/>
            <w:hideMark/>
          </w:tcPr>
          <w:p w14:paraId="40C4BB4C" w14:textId="64B397AE"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Tasmania</w:t>
            </w:r>
          </w:p>
        </w:tc>
        <w:tc>
          <w:tcPr>
            <w:tcW w:w="564" w:type="dxa"/>
            <w:noWrap/>
            <w:vAlign w:val="bottom"/>
            <w:hideMark/>
          </w:tcPr>
          <w:p w14:paraId="56521E8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2769618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10CE6A8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40" w:type="dxa"/>
            <w:noWrap/>
            <w:vAlign w:val="bottom"/>
            <w:hideMark/>
          </w:tcPr>
          <w:p w14:paraId="59D8AC2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85062F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EF0F2D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CA232C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6581AC3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3AB8AA3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59672A4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5CE541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7BDB5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59A067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0F72B7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54A85F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570113A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F5B510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D41045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25136C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0B0609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6A761D86" w14:textId="77777777" w:rsidTr="00106B24">
        <w:trPr>
          <w:trHeight w:val="20"/>
        </w:trPr>
        <w:tc>
          <w:tcPr>
            <w:tcW w:w="2528" w:type="dxa"/>
            <w:noWrap/>
            <w:vAlign w:val="bottom"/>
            <w:hideMark/>
          </w:tcPr>
          <w:p w14:paraId="08A7ED47" w14:textId="77777777" w:rsidR="001B4353" w:rsidRPr="000F5C6F" w:rsidRDefault="001B4353" w:rsidP="000F5C6F">
            <w:pPr>
              <w:spacing w:line="240" w:lineRule="auto"/>
              <w:jc w:val="both"/>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lastRenderedPageBreak/>
              <w:t>Victoria (VIC)</w:t>
            </w:r>
          </w:p>
        </w:tc>
        <w:tc>
          <w:tcPr>
            <w:tcW w:w="564" w:type="dxa"/>
            <w:noWrap/>
            <w:vAlign w:val="bottom"/>
            <w:hideMark/>
          </w:tcPr>
          <w:p w14:paraId="2D466FB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0.56</w:t>
            </w:r>
          </w:p>
        </w:tc>
        <w:tc>
          <w:tcPr>
            <w:tcW w:w="589" w:type="dxa"/>
            <w:noWrap/>
            <w:vAlign w:val="bottom"/>
            <w:hideMark/>
          </w:tcPr>
          <w:p w14:paraId="0239B9A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52" w:type="dxa"/>
            <w:noWrap/>
            <w:vAlign w:val="bottom"/>
            <w:hideMark/>
          </w:tcPr>
          <w:p w14:paraId="7B93BED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0.44</w:t>
            </w:r>
          </w:p>
        </w:tc>
        <w:tc>
          <w:tcPr>
            <w:tcW w:w="440" w:type="dxa"/>
            <w:noWrap/>
            <w:vAlign w:val="bottom"/>
            <w:hideMark/>
          </w:tcPr>
          <w:p w14:paraId="6E0C238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62BBED7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5E9134E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0.44</w:t>
            </w:r>
          </w:p>
        </w:tc>
        <w:tc>
          <w:tcPr>
            <w:tcW w:w="567" w:type="dxa"/>
            <w:noWrap/>
            <w:vAlign w:val="bottom"/>
            <w:hideMark/>
          </w:tcPr>
          <w:p w14:paraId="03A7AA3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709" w:type="dxa"/>
            <w:noWrap/>
            <w:vAlign w:val="bottom"/>
            <w:hideMark/>
          </w:tcPr>
          <w:p w14:paraId="52398BB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13" w:type="dxa"/>
            <w:noWrap/>
            <w:vAlign w:val="bottom"/>
            <w:hideMark/>
          </w:tcPr>
          <w:p w14:paraId="04B2E5B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0.75</w:t>
            </w:r>
          </w:p>
        </w:tc>
        <w:tc>
          <w:tcPr>
            <w:tcW w:w="479" w:type="dxa"/>
            <w:noWrap/>
            <w:vAlign w:val="bottom"/>
            <w:hideMark/>
          </w:tcPr>
          <w:p w14:paraId="5E239AA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16F2196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60C602A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27607FE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3C17CCC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7818FFC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7218982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349218E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67" w:type="dxa"/>
            <w:noWrap/>
            <w:vAlign w:val="bottom"/>
            <w:hideMark/>
          </w:tcPr>
          <w:p w14:paraId="63D28F8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1FD891D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67" w:type="dxa"/>
            <w:noWrap/>
            <w:vAlign w:val="bottom"/>
            <w:hideMark/>
          </w:tcPr>
          <w:p w14:paraId="5260E67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6C56EA2A" w14:textId="77777777" w:rsidTr="00106B24">
        <w:trPr>
          <w:trHeight w:val="20"/>
        </w:trPr>
        <w:tc>
          <w:tcPr>
            <w:tcW w:w="2528" w:type="dxa"/>
            <w:noWrap/>
            <w:vAlign w:val="bottom"/>
            <w:hideMark/>
          </w:tcPr>
          <w:p w14:paraId="505783A8" w14:textId="58CED5C3"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Deakin University</w:t>
            </w:r>
          </w:p>
        </w:tc>
        <w:tc>
          <w:tcPr>
            <w:tcW w:w="564" w:type="dxa"/>
            <w:noWrap/>
            <w:vAlign w:val="bottom"/>
            <w:hideMark/>
          </w:tcPr>
          <w:p w14:paraId="4862A60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0B88979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122C3A0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45BBAF0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C379DF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0CB45D4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7E6A73D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54EB925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6C590DB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2F6FC24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D7C07D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A46715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B77F31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3B5D8A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2455EF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A5879C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F44978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57677A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CD9186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0F8B415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645690B" w14:textId="77777777" w:rsidTr="00106B24">
        <w:trPr>
          <w:trHeight w:val="20"/>
        </w:trPr>
        <w:tc>
          <w:tcPr>
            <w:tcW w:w="2528" w:type="dxa"/>
            <w:noWrap/>
            <w:vAlign w:val="bottom"/>
            <w:hideMark/>
          </w:tcPr>
          <w:p w14:paraId="5D62509B" w14:textId="11EB74BB"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Federation University</w:t>
            </w:r>
          </w:p>
        </w:tc>
        <w:tc>
          <w:tcPr>
            <w:tcW w:w="564" w:type="dxa"/>
            <w:noWrap/>
            <w:vAlign w:val="bottom"/>
            <w:hideMark/>
          </w:tcPr>
          <w:p w14:paraId="1FBB342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6BCDBBC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4EAA815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7E2FABC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5DF049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7BEAC3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8E120F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7FBA173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13" w:type="dxa"/>
            <w:noWrap/>
            <w:vAlign w:val="bottom"/>
            <w:hideMark/>
          </w:tcPr>
          <w:p w14:paraId="21198C5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6C2AE7D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50DCA7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D1D5EF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AD22AB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BBD6C4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CF073D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F986C2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579C95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C2EF3C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04B61A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6EE126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17AAB239" w14:textId="77777777" w:rsidTr="00106B24">
        <w:trPr>
          <w:trHeight w:val="20"/>
        </w:trPr>
        <w:tc>
          <w:tcPr>
            <w:tcW w:w="2528" w:type="dxa"/>
            <w:noWrap/>
            <w:vAlign w:val="bottom"/>
            <w:hideMark/>
          </w:tcPr>
          <w:p w14:paraId="2FDB7A21" w14:textId="10E9EA13"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La Trobe University</w:t>
            </w:r>
          </w:p>
        </w:tc>
        <w:tc>
          <w:tcPr>
            <w:tcW w:w="564" w:type="dxa"/>
            <w:noWrap/>
            <w:vAlign w:val="bottom"/>
            <w:hideMark/>
          </w:tcPr>
          <w:p w14:paraId="11E9012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32DD313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6AB6103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6598731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483BE7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6D2E291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67" w:type="dxa"/>
            <w:noWrap/>
            <w:vAlign w:val="bottom"/>
            <w:hideMark/>
          </w:tcPr>
          <w:p w14:paraId="1EEBB6C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53D0566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7A8F59E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6879AEE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F3739E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4B5C51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C56B93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60CD6E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59D97C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49D3FBF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477052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50EA19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D5AA6B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9BB0B3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4B4891A" w14:textId="77777777" w:rsidTr="00106B24">
        <w:trPr>
          <w:trHeight w:val="20"/>
        </w:trPr>
        <w:tc>
          <w:tcPr>
            <w:tcW w:w="2528" w:type="dxa"/>
            <w:noWrap/>
            <w:vAlign w:val="bottom"/>
            <w:hideMark/>
          </w:tcPr>
          <w:p w14:paraId="0A83FBD1" w14:textId="78C5A0F5"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Monash University</w:t>
            </w:r>
          </w:p>
        </w:tc>
        <w:tc>
          <w:tcPr>
            <w:tcW w:w="564" w:type="dxa"/>
            <w:noWrap/>
            <w:vAlign w:val="bottom"/>
            <w:hideMark/>
          </w:tcPr>
          <w:p w14:paraId="046042D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7BF1EC2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52" w:type="dxa"/>
            <w:noWrap/>
            <w:vAlign w:val="bottom"/>
            <w:hideMark/>
          </w:tcPr>
          <w:p w14:paraId="0AFC91A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440" w:type="dxa"/>
            <w:noWrap/>
            <w:vAlign w:val="bottom"/>
            <w:hideMark/>
          </w:tcPr>
          <w:p w14:paraId="166C30E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F9CA5B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78F611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28C548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3C934FC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7A6765F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6BC0BB0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BD4023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6F64D50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A4CAB4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A54B9A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F63589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499A2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FAB9E1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5DC9C9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B712AB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F7FCBA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385F74AF" w14:textId="77777777" w:rsidTr="00106B24">
        <w:trPr>
          <w:trHeight w:val="20"/>
        </w:trPr>
        <w:tc>
          <w:tcPr>
            <w:tcW w:w="2528" w:type="dxa"/>
            <w:noWrap/>
            <w:vAlign w:val="bottom"/>
            <w:hideMark/>
          </w:tcPr>
          <w:p w14:paraId="2CFC9691" w14:textId="50BCD0D6"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RMIT University</w:t>
            </w:r>
          </w:p>
        </w:tc>
        <w:tc>
          <w:tcPr>
            <w:tcW w:w="564" w:type="dxa"/>
            <w:noWrap/>
            <w:vAlign w:val="bottom"/>
            <w:hideMark/>
          </w:tcPr>
          <w:p w14:paraId="712916A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50563C8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175C4A9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4AA5D33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6A437A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74F7B94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E8B370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1DC9D7F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636FC85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5265C41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520845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B80E8B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B6CDE1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A9207B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F3F5AD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C8BBB2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79775A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2888464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EFCF2C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18F98B3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15A7B62E" w14:textId="77777777" w:rsidTr="00106B24">
        <w:trPr>
          <w:trHeight w:val="20"/>
        </w:trPr>
        <w:tc>
          <w:tcPr>
            <w:tcW w:w="2528" w:type="dxa"/>
            <w:noWrap/>
            <w:vAlign w:val="bottom"/>
            <w:hideMark/>
          </w:tcPr>
          <w:p w14:paraId="410C2907" w14:textId="76A48911"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Swinburne University</w:t>
            </w:r>
          </w:p>
        </w:tc>
        <w:tc>
          <w:tcPr>
            <w:tcW w:w="564" w:type="dxa"/>
            <w:noWrap/>
            <w:vAlign w:val="bottom"/>
            <w:hideMark/>
          </w:tcPr>
          <w:p w14:paraId="0A8EC804"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89" w:type="dxa"/>
            <w:noWrap/>
            <w:vAlign w:val="bottom"/>
            <w:hideMark/>
          </w:tcPr>
          <w:p w14:paraId="229BE61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51D6F9B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3F37AB6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5B6EC1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58C73F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848BDD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79A8B4E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5830F82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69ACE24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871D68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23EA70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89A3F5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07C9BE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7751E8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3321947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A4A38A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C6C562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332F1A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46EB1C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27433A3" w14:textId="77777777" w:rsidTr="00106B24">
        <w:trPr>
          <w:trHeight w:val="20"/>
        </w:trPr>
        <w:tc>
          <w:tcPr>
            <w:tcW w:w="2528" w:type="dxa"/>
            <w:noWrap/>
            <w:vAlign w:val="bottom"/>
            <w:hideMark/>
          </w:tcPr>
          <w:p w14:paraId="5E04B8BC" w14:textId="212B3D86"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Melbourne</w:t>
            </w:r>
          </w:p>
        </w:tc>
        <w:tc>
          <w:tcPr>
            <w:tcW w:w="564" w:type="dxa"/>
            <w:noWrap/>
            <w:vAlign w:val="bottom"/>
            <w:hideMark/>
          </w:tcPr>
          <w:p w14:paraId="762FDCB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253318D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344CF18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40" w:type="dxa"/>
            <w:noWrap/>
            <w:vAlign w:val="bottom"/>
            <w:hideMark/>
          </w:tcPr>
          <w:p w14:paraId="06D9D64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DFF2C2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14DA86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4B41BE1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3426A0B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48F0924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50297D8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2C23B1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061323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BD0AB3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F46510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79E40E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D2D61F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15395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644D5E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9CFEED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909A7B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5DF3279B" w14:textId="77777777" w:rsidTr="00106B24">
        <w:trPr>
          <w:trHeight w:val="20"/>
        </w:trPr>
        <w:tc>
          <w:tcPr>
            <w:tcW w:w="2528" w:type="dxa"/>
            <w:noWrap/>
            <w:vAlign w:val="bottom"/>
            <w:hideMark/>
          </w:tcPr>
          <w:p w14:paraId="3EED9602" w14:textId="12E40A56" w:rsidR="001B4353" w:rsidRPr="000F5C6F" w:rsidRDefault="001B4353" w:rsidP="000F5C6F">
            <w:pPr>
              <w:spacing w:line="240" w:lineRule="auto"/>
              <w:jc w:val="both"/>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 xml:space="preserve">Victoria University </w:t>
            </w:r>
          </w:p>
        </w:tc>
        <w:tc>
          <w:tcPr>
            <w:tcW w:w="564" w:type="dxa"/>
            <w:noWrap/>
            <w:vAlign w:val="bottom"/>
            <w:hideMark/>
          </w:tcPr>
          <w:p w14:paraId="3BA0A17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1C605CA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37CF528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279CDE8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812B03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567" w:type="dxa"/>
            <w:noWrap/>
            <w:vAlign w:val="bottom"/>
            <w:hideMark/>
          </w:tcPr>
          <w:p w14:paraId="0FFE5A5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2BDD605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66C629D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w:t>
            </w:r>
          </w:p>
        </w:tc>
        <w:tc>
          <w:tcPr>
            <w:tcW w:w="513" w:type="dxa"/>
            <w:noWrap/>
            <w:vAlign w:val="bottom"/>
            <w:hideMark/>
          </w:tcPr>
          <w:p w14:paraId="5B412D4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6E739BEA"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431620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589C64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187C28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03E3B6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E7A15D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CA4CC1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937942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43AB22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AD10E7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124704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28A9993" w14:textId="77777777" w:rsidTr="00106B24">
        <w:trPr>
          <w:trHeight w:val="20"/>
        </w:trPr>
        <w:tc>
          <w:tcPr>
            <w:tcW w:w="2528" w:type="dxa"/>
            <w:noWrap/>
            <w:vAlign w:val="bottom"/>
            <w:hideMark/>
          </w:tcPr>
          <w:p w14:paraId="544355C6" w14:textId="77777777" w:rsidR="001B4353" w:rsidRPr="000F5C6F" w:rsidRDefault="001B4353" w:rsidP="00901BF2">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Western Australia (WA)</w:t>
            </w:r>
          </w:p>
        </w:tc>
        <w:tc>
          <w:tcPr>
            <w:tcW w:w="564" w:type="dxa"/>
            <w:noWrap/>
            <w:vAlign w:val="bottom"/>
            <w:hideMark/>
          </w:tcPr>
          <w:p w14:paraId="363E7F6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89" w:type="dxa"/>
            <w:noWrap/>
            <w:vAlign w:val="bottom"/>
            <w:hideMark/>
          </w:tcPr>
          <w:p w14:paraId="16AB1AB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0.13</w:t>
            </w:r>
          </w:p>
        </w:tc>
        <w:tc>
          <w:tcPr>
            <w:tcW w:w="552" w:type="dxa"/>
            <w:noWrap/>
            <w:vAlign w:val="bottom"/>
            <w:hideMark/>
          </w:tcPr>
          <w:p w14:paraId="3D2BC49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0.13</w:t>
            </w:r>
          </w:p>
        </w:tc>
        <w:tc>
          <w:tcPr>
            <w:tcW w:w="440" w:type="dxa"/>
            <w:noWrap/>
            <w:vAlign w:val="bottom"/>
            <w:hideMark/>
          </w:tcPr>
          <w:p w14:paraId="5321382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3C7440E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52EBC19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0.25</w:t>
            </w:r>
          </w:p>
        </w:tc>
        <w:tc>
          <w:tcPr>
            <w:tcW w:w="567" w:type="dxa"/>
            <w:noWrap/>
            <w:vAlign w:val="bottom"/>
            <w:hideMark/>
          </w:tcPr>
          <w:p w14:paraId="396F144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709" w:type="dxa"/>
            <w:noWrap/>
            <w:vAlign w:val="bottom"/>
            <w:hideMark/>
          </w:tcPr>
          <w:p w14:paraId="756AA24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13" w:type="dxa"/>
            <w:noWrap/>
            <w:vAlign w:val="bottom"/>
            <w:hideMark/>
          </w:tcPr>
          <w:p w14:paraId="16DFF1C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479" w:type="dxa"/>
            <w:noWrap/>
            <w:vAlign w:val="bottom"/>
            <w:hideMark/>
          </w:tcPr>
          <w:p w14:paraId="284C434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10BDD3A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5D6DBE3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5626B97D"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26A6E02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6AF12528"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402B613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5B3CAA22"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4157B491"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5CB6ECD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70A845C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279C063C" w14:textId="77777777" w:rsidTr="00106B24">
        <w:trPr>
          <w:trHeight w:val="20"/>
        </w:trPr>
        <w:tc>
          <w:tcPr>
            <w:tcW w:w="2528" w:type="dxa"/>
            <w:noWrap/>
            <w:vAlign w:val="bottom"/>
            <w:hideMark/>
          </w:tcPr>
          <w:p w14:paraId="1A3256A0" w14:textId="516D31C0"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Curtin University of Technology</w:t>
            </w:r>
          </w:p>
        </w:tc>
        <w:tc>
          <w:tcPr>
            <w:tcW w:w="564" w:type="dxa"/>
            <w:noWrap/>
            <w:vAlign w:val="bottom"/>
            <w:hideMark/>
          </w:tcPr>
          <w:p w14:paraId="1831F0C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4EEEB2B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364A3D8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40" w:type="dxa"/>
            <w:noWrap/>
            <w:vAlign w:val="bottom"/>
            <w:hideMark/>
          </w:tcPr>
          <w:p w14:paraId="5927C00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64FED82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FB6796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65C313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09D9122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679A2FB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21257F9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69D4E60"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BD4966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59A21D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5101E3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6636B1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2F10F04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DDDAB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51C3D9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77318D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58D44F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1754360" w14:textId="77777777" w:rsidTr="00106B24">
        <w:trPr>
          <w:trHeight w:val="20"/>
        </w:trPr>
        <w:tc>
          <w:tcPr>
            <w:tcW w:w="2528" w:type="dxa"/>
            <w:noWrap/>
            <w:vAlign w:val="bottom"/>
            <w:hideMark/>
          </w:tcPr>
          <w:p w14:paraId="27A7F65A" w14:textId="651A688A"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Edith Cowan University</w:t>
            </w:r>
          </w:p>
        </w:tc>
        <w:tc>
          <w:tcPr>
            <w:tcW w:w="564" w:type="dxa"/>
            <w:noWrap/>
            <w:vAlign w:val="bottom"/>
            <w:hideMark/>
          </w:tcPr>
          <w:p w14:paraId="71A2AA4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086AEF2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0965C67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40" w:type="dxa"/>
            <w:noWrap/>
            <w:vAlign w:val="bottom"/>
            <w:hideMark/>
          </w:tcPr>
          <w:p w14:paraId="207CBE5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C9FF9E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04235D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1718FBF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709" w:type="dxa"/>
            <w:noWrap/>
            <w:vAlign w:val="bottom"/>
            <w:hideMark/>
          </w:tcPr>
          <w:p w14:paraId="3487BBD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563D803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106CB3C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53954B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37413F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472F1E5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5AB8BD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1211664"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D64DF4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21D5B42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E6D199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5A7C163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56C293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34C88222" w14:textId="77777777" w:rsidTr="00106B24">
        <w:trPr>
          <w:trHeight w:val="20"/>
        </w:trPr>
        <w:tc>
          <w:tcPr>
            <w:tcW w:w="2528" w:type="dxa"/>
            <w:noWrap/>
            <w:vAlign w:val="bottom"/>
            <w:hideMark/>
          </w:tcPr>
          <w:p w14:paraId="0AA6760C" w14:textId="41297583"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Murdoch University</w:t>
            </w:r>
          </w:p>
        </w:tc>
        <w:tc>
          <w:tcPr>
            <w:tcW w:w="564" w:type="dxa"/>
            <w:noWrap/>
            <w:vAlign w:val="bottom"/>
            <w:hideMark/>
          </w:tcPr>
          <w:p w14:paraId="2F0B585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6149E15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52" w:type="dxa"/>
            <w:noWrap/>
            <w:vAlign w:val="bottom"/>
            <w:hideMark/>
          </w:tcPr>
          <w:p w14:paraId="6A57420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40" w:type="dxa"/>
            <w:noWrap/>
            <w:vAlign w:val="bottom"/>
            <w:hideMark/>
          </w:tcPr>
          <w:p w14:paraId="308CE02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78041A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E63D62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71B3CE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4AFC66A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4FFBBEE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07D6BB3F"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3DA1CE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192B80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4AAF20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D130E2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F13607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5695F38"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4676D005"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717202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D38D42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82EC1A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73D1DB24" w14:textId="77777777" w:rsidTr="00106B24">
        <w:trPr>
          <w:trHeight w:val="20"/>
        </w:trPr>
        <w:tc>
          <w:tcPr>
            <w:tcW w:w="2528" w:type="dxa"/>
            <w:noWrap/>
            <w:vAlign w:val="bottom"/>
            <w:hideMark/>
          </w:tcPr>
          <w:p w14:paraId="0B351112" w14:textId="6E8DF456"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Western Australia</w:t>
            </w:r>
          </w:p>
        </w:tc>
        <w:tc>
          <w:tcPr>
            <w:tcW w:w="564" w:type="dxa"/>
            <w:noWrap/>
            <w:vAlign w:val="bottom"/>
            <w:hideMark/>
          </w:tcPr>
          <w:p w14:paraId="0DDC944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89" w:type="dxa"/>
            <w:noWrap/>
            <w:vAlign w:val="bottom"/>
            <w:hideMark/>
          </w:tcPr>
          <w:p w14:paraId="6231AFED"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2736F72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02B48E2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3BD3E3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E09711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7B457D4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33E36CC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36D1B8E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26AE89B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0E64CF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E23292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5EF527A"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593BF5E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C5561C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229403D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3649AD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594D902"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1A5616B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3B14C87"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0F63B104" w14:textId="77777777" w:rsidTr="00106B24">
        <w:trPr>
          <w:trHeight w:val="20"/>
        </w:trPr>
        <w:tc>
          <w:tcPr>
            <w:tcW w:w="2528" w:type="dxa"/>
            <w:noWrap/>
            <w:vAlign w:val="bottom"/>
            <w:hideMark/>
          </w:tcPr>
          <w:p w14:paraId="6AD17299" w14:textId="18690A39" w:rsidR="001B4353" w:rsidRPr="000F5C6F" w:rsidRDefault="001B4353" w:rsidP="00901BF2">
            <w:pPr>
              <w:spacing w:line="240" w:lineRule="auto"/>
              <w:rPr>
                <w:rFonts w:ascii="Times New Roman" w:eastAsia="Times New Roman" w:hAnsi="Times New Roman" w:cs="Times New Roman"/>
                <w:b/>
                <w:bCs/>
                <w:color w:val="AF4105"/>
                <w:lang w:val="en-AU"/>
              </w:rPr>
            </w:pPr>
            <w:r w:rsidRPr="000F5C6F">
              <w:rPr>
                <w:rFonts w:ascii="Times New Roman" w:eastAsia="Times New Roman" w:hAnsi="Times New Roman" w:cs="Times New Roman"/>
                <w:b/>
                <w:bCs/>
                <w:color w:val="AF4105"/>
                <w:lang w:val="en-AU"/>
              </w:rPr>
              <w:t>Multi-State</w:t>
            </w:r>
          </w:p>
        </w:tc>
        <w:tc>
          <w:tcPr>
            <w:tcW w:w="564" w:type="dxa"/>
            <w:noWrap/>
            <w:vAlign w:val="bottom"/>
            <w:hideMark/>
          </w:tcPr>
          <w:p w14:paraId="00263C24"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1.5</w:t>
            </w:r>
          </w:p>
        </w:tc>
        <w:tc>
          <w:tcPr>
            <w:tcW w:w="589" w:type="dxa"/>
            <w:noWrap/>
            <w:vAlign w:val="bottom"/>
            <w:hideMark/>
          </w:tcPr>
          <w:p w14:paraId="55DDDB9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552" w:type="dxa"/>
            <w:noWrap/>
            <w:vAlign w:val="bottom"/>
            <w:hideMark/>
          </w:tcPr>
          <w:p w14:paraId="3B3CFCC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0.38</w:t>
            </w:r>
          </w:p>
        </w:tc>
        <w:tc>
          <w:tcPr>
            <w:tcW w:w="440" w:type="dxa"/>
            <w:noWrap/>
            <w:vAlign w:val="bottom"/>
            <w:hideMark/>
          </w:tcPr>
          <w:p w14:paraId="2DBA41E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5D7DF136"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439B7F5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0.5</w:t>
            </w:r>
          </w:p>
        </w:tc>
        <w:tc>
          <w:tcPr>
            <w:tcW w:w="567" w:type="dxa"/>
            <w:noWrap/>
            <w:vAlign w:val="bottom"/>
            <w:hideMark/>
          </w:tcPr>
          <w:p w14:paraId="3F719EA0"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709" w:type="dxa"/>
            <w:noWrap/>
            <w:vAlign w:val="bottom"/>
            <w:hideMark/>
          </w:tcPr>
          <w:p w14:paraId="04DF2E6E"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13" w:type="dxa"/>
            <w:noWrap/>
            <w:vAlign w:val="bottom"/>
            <w:hideMark/>
          </w:tcPr>
          <w:p w14:paraId="0104DE5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479" w:type="dxa"/>
            <w:noWrap/>
            <w:vAlign w:val="bottom"/>
            <w:hideMark/>
          </w:tcPr>
          <w:p w14:paraId="32D1B7A5"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327F163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50837F07"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5FACFF3A"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0AC847C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c>
          <w:tcPr>
            <w:tcW w:w="567" w:type="dxa"/>
            <w:noWrap/>
            <w:vAlign w:val="bottom"/>
            <w:hideMark/>
          </w:tcPr>
          <w:p w14:paraId="4075C8B3"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1</w:t>
            </w:r>
          </w:p>
        </w:tc>
        <w:tc>
          <w:tcPr>
            <w:tcW w:w="567" w:type="dxa"/>
            <w:noWrap/>
            <w:vAlign w:val="bottom"/>
            <w:hideMark/>
          </w:tcPr>
          <w:p w14:paraId="01A1521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24D73F1B"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3</w:t>
            </w:r>
          </w:p>
        </w:tc>
        <w:tc>
          <w:tcPr>
            <w:tcW w:w="567" w:type="dxa"/>
            <w:noWrap/>
            <w:vAlign w:val="bottom"/>
            <w:hideMark/>
          </w:tcPr>
          <w:p w14:paraId="709CC739"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2</w:t>
            </w:r>
          </w:p>
        </w:tc>
        <w:tc>
          <w:tcPr>
            <w:tcW w:w="567" w:type="dxa"/>
            <w:noWrap/>
            <w:vAlign w:val="bottom"/>
            <w:hideMark/>
          </w:tcPr>
          <w:p w14:paraId="4993C7EF"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3</w:t>
            </w:r>
          </w:p>
        </w:tc>
        <w:tc>
          <w:tcPr>
            <w:tcW w:w="567" w:type="dxa"/>
            <w:noWrap/>
            <w:vAlign w:val="bottom"/>
            <w:hideMark/>
          </w:tcPr>
          <w:p w14:paraId="456A058C" w14:textId="77777777" w:rsidR="001B4353" w:rsidRPr="000F5C6F" w:rsidRDefault="001B4353" w:rsidP="000F5C6F">
            <w:pPr>
              <w:spacing w:line="240" w:lineRule="auto"/>
              <w:jc w:val="both"/>
              <w:rPr>
                <w:rFonts w:ascii="Times New Roman" w:eastAsia="Times New Roman" w:hAnsi="Times New Roman" w:cs="Times New Roman"/>
                <w:color w:val="9900FF"/>
                <w:lang w:val="en-AU"/>
              </w:rPr>
            </w:pPr>
            <w:r w:rsidRPr="000F5C6F">
              <w:rPr>
                <w:rFonts w:ascii="Times New Roman" w:eastAsia="Times New Roman" w:hAnsi="Times New Roman" w:cs="Times New Roman"/>
                <w:color w:val="9900FF"/>
                <w:lang w:val="en-AU"/>
              </w:rPr>
              <w:t>0</w:t>
            </w:r>
          </w:p>
        </w:tc>
      </w:tr>
      <w:tr w:rsidR="00871C06" w:rsidRPr="000F5C6F" w14:paraId="2E5A58B8" w14:textId="77777777" w:rsidTr="00106B24">
        <w:trPr>
          <w:trHeight w:val="20"/>
        </w:trPr>
        <w:tc>
          <w:tcPr>
            <w:tcW w:w="2528" w:type="dxa"/>
            <w:noWrap/>
            <w:vAlign w:val="bottom"/>
            <w:hideMark/>
          </w:tcPr>
          <w:p w14:paraId="7E8AA22B" w14:textId="56E36799"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Australian Catholic University</w:t>
            </w:r>
          </w:p>
        </w:tc>
        <w:tc>
          <w:tcPr>
            <w:tcW w:w="564" w:type="dxa"/>
            <w:noWrap/>
            <w:vAlign w:val="bottom"/>
            <w:hideMark/>
          </w:tcPr>
          <w:p w14:paraId="277C42E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89" w:type="dxa"/>
            <w:noWrap/>
            <w:vAlign w:val="bottom"/>
            <w:hideMark/>
          </w:tcPr>
          <w:p w14:paraId="651F9EB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52" w:type="dxa"/>
            <w:noWrap/>
            <w:vAlign w:val="bottom"/>
            <w:hideMark/>
          </w:tcPr>
          <w:p w14:paraId="0918A38E"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440" w:type="dxa"/>
            <w:noWrap/>
            <w:vAlign w:val="bottom"/>
            <w:hideMark/>
          </w:tcPr>
          <w:p w14:paraId="11474698"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766BFE0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27FE017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568B8D8B"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709" w:type="dxa"/>
            <w:noWrap/>
            <w:vAlign w:val="bottom"/>
            <w:hideMark/>
          </w:tcPr>
          <w:p w14:paraId="42C200BC"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13" w:type="dxa"/>
            <w:noWrap/>
            <w:vAlign w:val="bottom"/>
            <w:hideMark/>
          </w:tcPr>
          <w:p w14:paraId="27A31413"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479" w:type="dxa"/>
            <w:noWrap/>
            <w:vAlign w:val="bottom"/>
            <w:hideMark/>
          </w:tcPr>
          <w:p w14:paraId="3645E65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2A2250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1172F80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02A0E0E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70E0F40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0FDAE6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1F1835FB"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EDB972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4941B42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78A81DD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c>
          <w:tcPr>
            <w:tcW w:w="567" w:type="dxa"/>
            <w:noWrap/>
            <w:vAlign w:val="bottom"/>
            <w:hideMark/>
          </w:tcPr>
          <w:p w14:paraId="648DC8B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871C06" w:rsidRPr="000F5C6F" w14:paraId="44F5DF6B" w14:textId="77777777" w:rsidTr="00106B24">
        <w:trPr>
          <w:trHeight w:val="20"/>
        </w:trPr>
        <w:tc>
          <w:tcPr>
            <w:tcW w:w="2528" w:type="dxa"/>
            <w:noWrap/>
            <w:vAlign w:val="bottom"/>
            <w:hideMark/>
          </w:tcPr>
          <w:p w14:paraId="5B0A59D1" w14:textId="6D0A4932" w:rsidR="001B4353" w:rsidRPr="000F5C6F" w:rsidRDefault="001B4353" w:rsidP="00901BF2">
            <w:pPr>
              <w:spacing w:line="240" w:lineRule="auto"/>
              <w:rPr>
                <w:rFonts w:ascii="Times New Roman" w:eastAsia="Times New Roman" w:hAnsi="Times New Roman" w:cs="Times New Roman"/>
                <w:color w:val="38761D"/>
                <w:lang w:val="en-AU"/>
              </w:rPr>
            </w:pPr>
            <w:r w:rsidRPr="000F5C6F">
              <w:rPr>
                <w:rFonts w:ascii="Times New Roman" w:eastAsia="Times New Roman" w:hAnsi="Times New Roman" w:cs="Times New Roman"/>
                <w:color w:val="38761D"/>
                <w:lang w:val="en-AU"/>
              </w:rPr>
              <w:t>University of Notre Dame</w:t>
            </w:r>
          </w:p>
        </w:tc>
        <w:tc>
          <w:tcPr>
            <w:tcW w:w="564" w:type="dxa"/>
            <w:noWrap/>
            <w:vAlign w:val="bottom"/>
            <w:hideMark/>
          </w:tcPr>
          <w:p w14:paraId="37249200"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89" w:type="dxa"/>
            <w:noWrap/>
            <w:vAlign w:val="bottom"/>
            <w:hideMark/>
          </w:tcPr>
          <w:p w14:paraId="1101D322"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552" w:type="dxa"/>
            <w:noWrap/>
            <w:vAlign w:val="bottom"/>
            <w:hideMark/>
          </w:tcPr>
          <w:p w14:paraId="0E0D7D9F"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440" w:type="dxa"/>
            <w:noWrap/>
            <w:vAlign w:val="bottom"/>
            <w:hideMark/>
          </w:tcPr>
          <w:p w14:paraId="3698EE1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3F1C99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0DCF36F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567" w:type="dxa"/>
            <w:noWrap/>
            <w:vAlign w:val="bottom"/>
            <w:hideMark/>
          </w:tcPr>
          <w:p w14:paraId="617B7EE9"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709" w:type="dxa"/>
            <w:noWrap/>
            <w:vAlign w:val="bottom"/>
            <w:hideMark/>
          </w:tcPr>
          <w:p w14:paraId="59C095CC"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13" w:type="dxa"/>
            <w:noWrap/>
            <w:vAlign w:val="bottom"/>
            <w:hideMark/>
          </w:tcPr>
          <w:p w14:paraId="4C3F953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479" w:type="dxa"/>
            <w:noWrap/>
            <w:vAlign w:val="bottom"/>
            <w:hideMark/>
          </w:tcPr>
          <w:p w14:paraId="3E4B49B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69581EA3"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49C4AA6"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2AE8B0AD"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3BCEA5C1"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01B9ACD7"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567" w:type="dxa"/>
            <w:noWrap/>
            <w:vAlign w:val="bottom"/>
            <w:hideMark/>
          </w:tcPr>
          <w:p w14:paraId="4B2871C5"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69A17F36"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739A39FE"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567" w:type="dxa"/>
            <w:noWrap/>
            <w:vAlign w:val="bottom"/>
            <w:hideMark/>
          </w:tcPr>
          <w:p w14:paraId="7EAFBD61" w14:textId="77777777" w:rsidR="001B4353" w:rsidRPr="000F5C6F" w:rsidRDefault="001B4353"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567" w:type="dxa"/>
            <w:noWrap/>
            <w:vAlign w:val="bottom"/>
            <w:hideMark/>
          </w:tcPr>
          <w:p w14:paraId="37013909" w14:textId="77777777" w:rsidR="001B4353" w:rsidRPr="000F5C6F" w:rsidRDefault="001B4353"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bl>
    <w:p w14:paraId="1E30C36B" w14:textId="77777777" w:rsidR="005B412F" w:rsidRPr="000F5C6F" w:rsidRDefault="005B412F" w:rsidP="000F5C6F">
      <w:pPr>
        <w:spacing w:before="240" w:after="240" w:line="240" w:lineRule="auto"/>
        <w:jc w:val="both"/>
        <w:rPr>
          <w:rFonts w:ascii="Times New Roman" w:hAnsi="Times New Roman" w:cs="Times New Roman"/>
        </w:rPr>
        <w:sectPr w:rsidR="005B412F" w:rsidRPr="000F5C6F" w:rsidSect="00A36139">
          <w:pgSz w:w="16840" w:h="11900" w:orient="landscape"/>
          <w:pgMar w:top="1440" w:right="1440" w:bottom="1440" w:left="1440" w:header="720" w:footer="720" w:gutter="0"/>
          <w:cols w:space="720"/>
          <w:docGrid w:linePitch="299"/>
        </w:sectPr>
      </w:pPr>
    </w:p>
    <w:p w14:paraId="5BEC5E25" w14:textId="77777777" w:rsidR="00536354" w:rsidRPr="00573411" w:rsidRDefault="006D4291" w:rsidP="00536354">
      <w:pPr>
        <w:numPr>
          <w:ilvl w:val="0"/>
          <w:numId w:val="3"/>
        </w:numPr>
        <w:spacing w:before="240" w:line="240" w:lineRule="auto"/>
        <w:ind w:left="426" w:hanging="426"/>
        <w:rPr>
          <w:rFonts w:ascii="Times New Roman" w:hAnsi="Times New Roman" w:cs="Times New Roman"/>
          <w:b/>
          <w:bCs/>
        </w:rPr>
      </w:pPr>
      <w:r w:rsidRPr="00573411">
        <w:rPr>
          <w:rFonts w:ascii="Times New Roman" w:hAnsi="Times New Roman" w:cs="Times New Roman"/>
          <w:b/>
          <w:bCs/>
        </w:rPr>
        <w:lastRenderedPageBreak/>
        <w:t>State and Territory Variations:</w:t>
      </w:r>
    </w:p>
    <w:p w14:paraId="01806656" w14:textId="77777777" w:rsidR="00F73CDF" w:rsidRPr="000F5C6F" w:rsidRDefault="00F73CDF" w:rsidP="00805D4F">
      <w:pPr>
        <w:spacing w:before="240" w:after="120" w:line="240" w:lineRule="auto"/>
        <w:ind w:left="426"/>
        <w:rPr>
          <w:rFonts w:ascii="Times New Roman" w:hAnsi="Times New Roman" w:cs="Times New Roman"/>
        </w:rPr>
      </w:pPr>
      <w:r w:rsidRPr="000F5C6F">
        <w:rPr>
          <w:rFonts w:ascii="Times New Roman" w:hAnsi="Times New Roman" w:cs="Times New Roman"/>
        </w:rPr>
        <w:t>The analysis identified considerable disparities in the inclusion of technologies education across Australian states and territories (</w:t>
      </w:r>
      <w:r>
        <w:rPr>
          <w:rFonts w:ascii="Times New Roman" w:hAnsi="Times New Roman" w:cs="Times New Roman"/>
        </w:rPr>
        <w:t xml:space="preserve">see </w:t>
      </w:r>
      <w:r w:rsidRPr="000F5C6F">
        <w:rPr>
          <w:rFonts w:ascii="Times New Roman" w:hAnsi="Times New Roman" w:cs="Times New Roman"/>
        </w:rPr>
        <w:t>Tables 2, 3, 4 and 5):</w:t>
      </w:r>
    </w:p>
    <w:p w14:paraId="35E2A219" w14:textId="77777777" w:rsidR="00F73CDF" w:rsidRPr="000F5C6F" w:rsidRDefault="00F73CDF" w:rsidP="00805D4F">
      <w:pPr>
        <w:pStyle w:val="ListParagraph"/>
        <w:numPr>
          <w:ilvl w:val="0"/>
          <w:numId w:val="16"/>
        </w:numPr>
        <w:spacing w:line="240" w:lineRule="auto"/>
        <w:jc w:val="both"/>
        <w:rPr>
          <w:rFonts w:ascii="Times New Roman" w:hAnsi="Times New Roman" w:cs="Times New Roman"/>
        </w:rPr>
      </w:pPr>
      <w:r w:rsidRPr="000F5C6F">
        <w:rPr>
          <w:rFonts w:ascii="Times New Roman" w:hAnsi="Times New Roman" w:cs="Times New Roman"/>
        </w:rPr>
        <w:t>While 92% of primary ITE program</w:t>
      </w:r>
      <w:r>
        <w:rPr>
          <w:rFonts w:ascii="Times New Roman" w:hAnsi="Times New Roman" w:cs="Times New Roman"/>
        </w:rPr>
        <w:t>me</w:t>
      </w:r>
      <w:r w:rsidRPr="000F5C6F">
        <w:rPr>
          <w:rFonts w:ascii="Times New Roman" w:hAnsi="Times New Roman" w:cs="Times New Roman"/>
        </w:rPr>
        <w:t>s nationwide offer some technologies education, only 75% of program</w:t>
      </w:r>
      <w:r>
        <w:rPr>
          <w:rFonts w:ascii="Times New Roman" w:hAnsi="Times New Roman" w:cs="Times New Roman"/>
        </w:rPr>
        <w:t>me</w:t>
      </w:r>
      <w:r w:rsidRPr="000F5C6F">
        <w:rPr>
          <w:rFonts w:ascii="Times New Roman" w:hAnsi="Times New Roman" w:cs="Times New Roman"/>
        </w:rPr>
        <w:t>s in Western Australia (WA) and South Australia (SA) offer any identifiable technologies education preparation.</w:t>
      </w:r>
    </w:p>
    <w:p w14:paraId="52715D0B" w14:textId="77777777" w:rsidR="00F73CDF" w:rsidRPr="000F5C6F" w:rsidRDefault="00F73CDF" w:rsidP="00805D4F">
      <w:pPr>
        <w:pStyle w:val="ListParagraph"/>
        <w:numPr>
          <w:ilvl w:val="0"/>
          <w:numId w:val="16"/>
        </w:numPr>
        <w:spacing w:line="240" w:lineRule="auto"/>
        <w:jc w:val="both"/>
        <w:rPr>
          <w:rFonts w:ascii="Times New Roman" w:hAnsi="Times New Roman" w:cs="Times New Roman"/>
        </w:rPr>
      </w:pPr>
      <w:r w:rsidRPr="000F5C6F">
        <w:rPr>
          <w:rFonts w:ascii="Times New Roman" w:hAnsi="Times New Roman" w:cs="Times New Roman"/>
        </w:rPr>
        <w:t>The NSW curriculum results in a more isolated approach to technologies education that has a flow-on impact on</w:t>
      </w:r>
      <w:r>
        <w:rPr>
          <w:rFonts w:ascii="Times New Roman" w:hAnsi="Times New Roman" w:cs="Times New Roman"/>
        </w:rPr>
        <w:t xml:space="preserve"> the</w:t>
      </w:r>
      <w:r w:rsidRPr="000F5C6F">
        <w:rPr>
          <w:rFonts w:ascii="Times New Roman" w:hAnsi="Times New Roman" w:cs="Times New Roman"/>
        </w:rPr>
        <w:t xml:space="preserve"> ITE</w:t>
      </w:r>
      <w:r>
        <w:rPr>
          <w:rFonts w:ascii="Times New Roman" w:hAnsi="Times New Roman" w:cs="Times New Roman"/>
        </w:rPr>
        <w:t xml:space="preserve"> sector</w:t>
      </w:r>
      <w:r w:rsidRPr="000F5C6F">
        <w:rPr>
          <w:rFonts w:ascii="Times New Roman" w:hAnsi="Times New Roman" w:cs="Times New Roman"/>
        </w:rPr>
        <w:t>. While 92% of NSW ITE program</w:t>
      </w:r>
      <w:r>
        <w:rPr>
          <w:rFonts w:ascii="Times New Roman" w:hAnsi="Times New Roman" w:cs="Times New Roman"/>
        </w:rPr>
        <w:t>me</w:t>
      </w:r>
      <w:r w:rsidRPr="000F5C6F">
        <w:rPr>
          <w:rFonts w:ascii="Times New Roman" w:hAnsi="Times New Roman" w:cs="Times New Roman"/>
        </w:rPr>
        <w:t>s include technologies education, they have the lowest preparation percentage of technologies education courses in primary ITE program</w:t>
      </w:r>
      <w:r>
        <w:rPr>
          <w:rFonts w:ascii="Times New Roman" w:hAnsi="Times New Roman" w:cs="Times New Roman"/>
        </w:rPr>
        <w:t>me</w:t>
      </w:r>
      <w:r w:rsidRPr="000F5C6F">
        <w:rPr>
          <w:rFonts w:ascii="Times New Roman" w:hAnsi="Times New Roman" w:cs="Times New Roman"/>
        </w:rPr>
        <w:t>s, generally half to a quarter of that provided in other states and territories, with DT and D&amp;T combined, and combined again with science education.</w:t>
      </w:r>
    </w:p>
    <w:p w14:paraId="620B4AA2" w14:textId="77777777" w:rsidR="00F73CDF" w:rsidRPr="000F5C6F" w:rsidRDefault="00F73CDF" w:rsidP="00F73CDF">
      <w:pPr>
        <w:pStyle w:val="ListParagraph"/>
        <w:numPr>
          <w:ilvl w:val="0"/>
          <w:numId w:val="16"/>
        </w:numPr>
        <w:spacing w:after="240" w:line="240" w:lineRule="auto"/>
        <w:jc w:val="both"/>
        <w:rPr>
          <w:rFonts w:ascii="Times New Roman" w:hAnsi="Times New Roman" w:cs="Times New Roman"/>
        </w:rPr>
      </w:pPr>
      <w:r w:rsidRPr="000F5C6F">
        <w:rPr>
          <w:rFonts w:ascii="Times New Roman" w:hAnsi="Times New Roman" w:cs="Times New Roman"/>
        </w:rPr>
        <w:t>States like Queensland, the Australian Capital Territory (ACT), and the Northern Territory (NT) offer limited opportunities for specialisation in technologies education, with few elective options available to pre-service teachers in their program</w:t>
      </w:r>
      <w:r>
        <w:rPr>
          <w:rFonts w:ascii="Times New Roman" w:hAnsi="Times New Roman" w:cs="Times New Roman"/>
        </w:rPr>
        <w:t>me</w:t>
      </w:r>
      <w:r w:rsidRPr="000F5C6F">
        <w:rPr>
          <w:rFonts w:ascii="Times New Roman" w:hAnsi="Times New Roman" w:cs="Times New Roman"/>
        </w:rPr>
        <w:t>s.</w:t>
      </w:r>
    </w:p>
    <w:tbl>
      <w:tblPr>
        <w:tblStyle w:val="a"/>
        <w:tblW w:w="9207" w:type="dxa"/>
        <w:tblBorders>
          <w:top w:val="nil"/>
          <w:left w:val="nil"/>
          <w:bottom w:val="nil"/>
          <w:right w:val="nil"/>
          <w:insideH w:val="nil"/>
          <w:insideV w:val="nil"/>
        </w:tblBorders>
        <w:tblLayout w:type="fixed"/>
        <w:tblLook w:val="0600" w:firstRow="0" w:lastRow="0" w:firstColumn="0" w:lastColumn="0" w:noHBand="1" w:noVBand="1"/>
      </w:tblPr>
      <w:tblGrid>
        <w:gridCol w:w="2275"/>
        <w:gridCol w:w="2224"/>
        <w:gridCol w:w="2224"/>
        <w:gridCol w:w="2484"/>
      </w:tblGrid>
      <w:tr w:rsidR="007567A6" w:rsidRPr="000F5C6F" w14:paraId="7D41A9F7" w14:textId="77777777" w:rsidTr="00B2438D">
        <w:trPr>
          <w:cantSplit/>
          <w:trHeight w:val="289"/>
        </w:trPr>
        <w:tc>
          <w:tcPr>
            <w:tcW w:w="9207" w:type="dxa"/>
            <w:gridSpan w:val="4"/>
            <w:tcBorders>
              <w:top w:val="nil"/>
              <w:left w:val="nil"/>
              <w:bottom w:val="single" w:sz="4" w:space="0" w:color="auto"/>
              <w:right w:val="nil"/>
            </w:tcBorders>
            <w:tcMar>
              <w:top w:w="0" w:type="dxa"/>
              <w:left w:w="0" w:type="dxa"/>
              <w:bottom w:w="0" w:type="dxa"/>
              <w:right w:w="0" w:type="dxa"/>
            </w:tcMar>
            <w:vAlign w:val="bottom"/>
          </w:tcPr>
          <w:p w14:paraId="761C9080" w14:textId="7688E1C6" w:rsidR="007567A6" w:rsidRPr="00536354" w:rsidRDefault="003E0637" w:rsidP="000F5C6F">
            <w:pPr>
              <w:spacing w:line="240" w:lineRule="auto"/>
              <w:jc w:val="both"/>
              <w:rPr>
                <w:rFonts w:ascii="Times New Roman" w:hAnsi="Times New Roman" w:cs="Times New Roman"/>
                <w:b/>
              </w:rPr>
            </w:pPr>
            <w:r w:rsidRPr="00536354">
              <w:rPr>
                <w:rFonts w:ascii="Times New Roman" w:hAnsi="Times New Roman" w:cs="Times New Roman"/>
                <w:b/>
              </w:rPr>
              <w:t xml:space="preserve">Table </w:t>
            </w:r>
            <w:r w:rsidR="000C3DA1" w:rsidRPr="00536354">
              <w:rPr>
                <w:rFonts w:ascii="Times New Roman" w:hAnsi="Times New Roman" w:cs="Times New Roman"/>
                <w:b/>
              </w:rPr>
              <w:t>2</w:t>
            </w:r>
            <w:r w:rsidR="00536354" w:rsidRPr="00536354">
              <w:rPr>
                <w:rFonts w:ascii="Times New Roman" w:hAnsi="Times New Roman" w:cs="Times New Roman"/>
                <w:b/>
              </w:rPr>
              <w:t>:</w:t>
            </w:r>
          </w:p>
          <w:p w14:paraId="40E07051" w14:textId="76E9AEF3" w:rsidR="007567A6" w:rsidRPr="000F5C6F" w:rsidRDefault="003E0637" w:rsidP="000F5C6F">
            <w:pPr>
              <w:spacing w:line="240" w:lineRule="auto"/>
              <w:jc w:val="both"/>
              <w:rPr>
                <w:rFonts w:ascii="Times New Roman" w:hAnsi="Times New Roman" w:cs="Times New Roman"/>
                <w:bCs/>
                <w:i/>
                <w:iCs/>
              </w:rPr>
            </w:pPr>
            <w:r w:rsidRPr="000F5C6F">
              <w:rPr>
                <w:rFonts w:ascii="Times New Roman" w:hAnsi="Times New Roman" w:cs="Times New Roman"/>
                <w:bCs/>
                <w:i/>
                <w:iCs/>
              </w:rPr>
              <w:t>U</w:t>
            </w:r>
            <w:r w:rsidR="000C3DA1" w:rsidRPr="000F5C6F">
              <w:rPr>
                <w:rFonts w:ascii="Times New Roman" w:hAnsi="Times New Roman" w:cs="Times New Roman"/>
                <w:bCs/>
                <w:i/>
                <w:iCs/>
              </w:rPr>
              <w:t>ndergraduate</w:t>
            </w:r>
            <w:r w:rsidRPr="000F5C6F">
              <w:rPr>
                <w:rFonts w:ascii="Times New Roman" w:hAnsi="Times New Roman" w:cs="Times New Roman"/>
                <w:bCs/>
                <w:i/>
                <w:iCs/>
              </w:rPr>
              <w:t xml:space="preserve"> Primary Courses Technologies Education </w:t>
            </w:r>
            <w:r w:rsidR="00502BAE" w:rsidRPr="000F5C6F">
              <w:rPr>
                <w:rFonts w:ascii="Times New Roman" w:hAnsi="Times New Roman" w:cs="Times New Roman"/>
                <w:bCs/>
                <w:i/>
                <w:iCs/>
              </w:rPr>
              <w:t>I</w:t>
            </w:r>
            <w:r w:rsidRPr="000F5C6F">
              <w:rPr>
                <w:rFonts w:ascii="Times New Roman" w:hAnsi="Times New Roman" w:cs="Times New Roman"/>
                <w:bCs/>
                <w:i/>
                <w:iCs/>
              </w:rPr>
              <w:t>nclusion</w:t>
            </w:r>
          </w:p>
        </w:tc>
      </w:tr>
      <w:tr w:rsidR="007567A6" w:rsidRPr="000F5C6F" w14:paraId="2BA46D7B" w14:textId="77777777" w:rsidTr="00B2438D">
        <w:trPr>
          <w:cantSplit/>
          <w:trHeight w:val="328"/>
        </w:trPr>
        <w:tc>
          <w:tcPr>
            <w:tcW w:w="2275" w:type="dxa"/>
            <w:tcBorders>
              <w:top w:val="single" w:sz="4" w:space="0" w:color="auto"/>
              <w:left w:val="nil"/>
              <w:bottom w:val="single" w:sz="4" w:space="0" w:color="auto"/>
              <w:right w:val="nil"/>
            </w:tcBorders>
            <w:tcMar>
              <w:top w:w="0" w:type="dxa"/>
              <w:left w:w="0" w:type="dxa"/>
              <w:bottom w:w="0" w:type="dxa"/>
              <w:right w:w="0" w:type="dxa"/>
            </w:tcMar>
            <w:vAlign w:val="bottom"/>
          </w:tcPr>
          <w:p w14:paraId="5B226110" w14:textId="77777777" w:rsidR="007567A6" w:rsidRPr="000F5C6F" w:rsidRDefault="007567A6" w:rsidP="000F5C6F">
            <w:pPr>
              <w:spacing w:line="240" w:lineRule="auto"/>
              <w:jc w:val="both"/>
              <w:rPr>
                <w:rFonts w:ascii="Times New Roman" w:hAnsi="Times New Roman" w:cs="Times New Roman"/>
              </w:rPr>
            </w:pPr>
          </w:p>
        </w:tc>
        <w:tc>
          <w:tcPr>
            <w:tcW w:w="2224" w:type="dxa"/>
            <w:tcBorders>
              <w:top w:val="single" w:sz="4" w:space="0" w:color="auto"/>
              <w:left w:val="nil"/>
              <w:bottom w:val="single" w:sz="4" w:space="0" w:color="auto"/>
              <w:right w:val="nil"/>
            </w:tcBorders>
            <w:tcMar>
              <w:top w:w="0" w:type="dxa"/>
              <w:left w:w="0" w:type="dxa"/>
              <w:bottom w:w="0" w:type="dxa"/>
              <w:right w:w="0" w:type="dxa"/>
            </w:tcMar>
            <w:vAlign w:val="bottom"/>
          </w:tcPr>
          <w:p w14:paraId="50F29839"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ICT/DL</w:t>
            </w:r>
          </w:p>
        </w:tc>
        <w:tc>
          <w:tcPr>
            <w:tcW w:w="2224" w:type="dxa"/>
            <w:tcBorders>
              <w:top w:val="single" w:sz="4" w:space="0" w:color="auto"/>
              <w:left w:val="nil"/>
              <w:bottom w:val="single" w:sz="4" w:space="0" w:color="auto"/>
              <w:right w:val="nil"/>
            </w:tcBorders>
            <w:tcMar>
              <w:top w:w="0" w:type="dxa"/>
              <w:left w:w="0" w:type="dxa"/>
              <w:bottom w:w="0" w:type="dxa"/>
              <w:right w:w="0" w:type="dxa"/>
            </w:tcMar>
            <w:vAlign w:val="bottom"/>
          </w:tcPr>
          <w:p w14:paraId="05C6B4C0"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Digital</w:t>
            </w:r>
          </w:p>
        </w:tc>
        <w:tc>
          <w:tcPr>
            <w:tcW w:w="2484" w:type="dxa"/>
            <w:tcBorders>
              <w:top w:val="single" w:sz="4" w:space="0" w:color="auto"/>
              <w:left w:val="nil"/>
              <w:bottom w:val="single" w:sz="4" w:space="0" w:color="auto"/>
              <w:right w:val="nil"/>
            </w:tcBorders>
            <w:tcMar>
              <w:top w:w="0" w:type="dxa"/>
              <w:left w:w="0" w:type="dxa"/>
              <w:bottom w:w="0" w:type="dxa"/>
              <w:right w:w="0" w:type="dxa"/>
            </w:tcMar>
            <w:vAlign w:val="bottom"/>
          </w:tcPr>
          <w:p w14:paraId="3310EEC3"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Design</w:t>
            </w:r>
          </w:p>
        </w:tc>
      </w:tr>
      <w:tr w:rsidR="007567A6" w:rsidRPr="000F5C6F" w14:paraId="0451670E" w14:textId="77777777" w:rsidTr="00B2438D">
        <w:trPr>
          <w:cantSplit/>
          <w:trHeight w:val="295"/>
        </w:trPr>
        <w:tc>
          <w:tcPr>
            <w:tcW w:w="2275" w:type="dxa"/>
            <w:tcBorders>
              <w:top w:val="single" w:sz="4" w:space="0" w:color="auto"/>
              <w:left w:val="nil"/>
              <w:bottom w:val="nil"/>
              <w:right w:val="nil"/>
            </w:tcBorders>
            <w:tcMar>
              <w:top w:w="0" w:type="dxa"/>
              <w:left w:w="0" w:type="dxa"/>
              <w:bottom w:w="0" w:type="dxa"/>
              <w:right w:w="0" w:type="dxa"/>
            </w:tcMar>
            <w:vAlign w:val="bottom"/>
          </w:tcPr>
          <w:p w14:paraId="5E08DBD4"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ACT</w:t>
            </w:r>
          </w:p>
        </w:tc>
        <w:tc>
          <w:tcPr>
            <w:tcW w:w="2224" w:type="dxa"/>
            <w:tcBorders>
              <w:top w:val="single" w:sz="4" w:space="0" w:color="auto"/>
              <w:left w:val="nil"/>
              <w:bottom w:val="nil"/>
              <w:right w:val="nil"/>
            </w:tcBorders>
            <w:shd w:val="clear" w:color="auto" w:fill="DAF2D0"/>
            <w:tcMar>
              <w:top w:w="0" w:type="dxa"/>
              <w:left w:w="0" w:type="dxa"/>
              <w:bottom w:w="0" w:type="dxa"/>
              <w:right w:w="0" w:type="dxa"/>
            </w:tcMar>
            <w:vAlign w:val="bottom"/>
          </w:tcPr>
          <w:p w14:paraId="14E62D2F"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224" w:type="dxa"/>
            <w:tcBorders>
              <w:top w:val="single" w:sz="4" w:space="0" w:color="auto"/>
              <w:left w:val="nil"/>
              <w:bottom w:val="nil"/>
              <w:right w:val="nil"/>
            </w:tcBorders>
            <w:shd w:val="clear" w:color="auto" w:fill="DAF2D0"/>
            <w:tcMar>
              <w:top w:w="0" w:type="dxa"/>
              <w:left w:w="0" w:type="dxa"/>
              <w:bottom w:w="0" w:type="dxa"/>
              <w:right w:w="0" w:type="dxa"/>
            </w:tcMar>
            <w:vAlign w:val="bottom"/>
          </w:tcPr>
          <w:p w14:paraId="5D601D65"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484" w:type="dxa"/>
            <w:tcBorders>
              <w:top w:val="single" w:sz="4" w:space="0" w:color="auto"/>
              <w:left w:val="nil"/>
              <w:bottom w:val="nil"/>
              <w:right w:val="nil"/>
            </w:tcBorders>
            <w:shd w:val="clear" w:color="auto" w:fill="DAF2D0"/>
            <w:tcMar>
              <w:top w:w="0" w:type="dxa"/>
              <w:left w:w="0" w:type="dxa"/>
              <w:bottom w:w="0" w:type="dxa"/>
              <w:right w:w="0" w:type="dxa"/>
            </w:tcMar>
            <w:vAlign w:val="bottom"/>
          </w:tcPr>
          <w:p w14:paraId="4B5483CF"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r>
      <w:tr w:rsidR="007567A6" w:rsidRPr="000F5C6F" w14:paraId="645D4EF9" w14:textId="77777777" w:rsidTr="00B2438D">
        <w:trPr>
          <w:cantSplit/>
          <w:trHeight w:val="312"/>
        </w:trPr>
        <w:tc>
          <w:tcPr>
            <w:tcW w:w="2275" w:type="dxa"/>
            <w:tcBorders>
              <w:top w:val="nil"/>
              <w:left w:val="nil"/>
              <w:bottom w:val="nil"/>
              <w:right w:val="nil"/>
            </w:tcBorders>
            <w:tcMar>
              <w:top w:w="0" w:type="dxa"/>
              <w:left w:w="0" w:type="dxa"/>
              <w:bottom w:w="0" w:type="dxa"/>
              <w:right w:w="0" w:type="dxa"/>
            </w:tcMar>
            <w:vAlign w:val="bottom"/>
          </w:tcPr>
          <w:p w14:paraId="41EB492C"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NSW</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7A62E297"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58%</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3E9BB13E"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92%</w:t>
            </w:r>
          </w:p>
        </w:tc>
        <w:tc>
          <w:tcPr>
            <w:tcW w:w="2484" w:type="dxa"/>
            <w:tcBorders>
              <w:top w:val="nil"/>
              <w:left w:val="nil"/>
              <w:bottom w:val="nil"/>
              <w:right w:val="nil"/>
            </w:tcBorders>
            <w:shd w:val="clear" w:color="auto" w:fill="FBE2D5"/>
            <w:tcMar>
              <w:top w:w="0" w:type="dxa"/>
              <w:left w:w="0" w:type="dxa"/>
              <w:bottom w:w="0" w:type="dxa"/>
              <w:right w:w="0" w:type="dxa"/>
            </w:tcMar>
            <w:vAlign w:val="bottom"/>
          </w:tcPr>
          <w:p w14:paraId="75EB710F"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92%</w:t>
            </w:r>
          </w:p>
        </w:tc>
      </w:tr>
      <w:tr w:rsidR="007567A6" w:rsidRPr="000F5C6F" w14:paraId="1E2C5873" w14:textId="77777777" w:rsidTr="00B2438D">
        <w:trPr>
          <w:cantSplit/>
          <w:trHeight w:val="295"/>
        </w:trPr>
        <w:tc>
          <w:tcPr>
            <w:tcW w:w="2275" w:type="dxa"/>
            <w:tcBorders>
              <w:top w:val="nil"/>
              <w:left w:val="nil"/>
              <w:bottom w:val="nil"/>
              <w:right w:val="nil"/>
            </w:tcBorders>
            <w:tcMar>
              <w:top w:w="0" w:type="dxa"/>
              <w:left w:w="0" w:type="dxa"/>
              <w:bottom w:w="0" w:type="dxa"/>
              <w:right w:w="0" w:type="dxa"/>
            </w:tcMar>
            <w:vAlign w:val="bottom"/>
          </w:tcPr>
          <w:p w14:paraId="6AAB907A"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NT</w:t>
            </w:r>
          </w:p>
        </w:tc>
        <w:tc>
          <w:tcPr>
            <w:tcW w:w="2224" w:type="dxa"/>
            <w:tcBorders>
              <w:top w:val="nil"/>
              <w:left w:val="nil"/>
              <w:bottom w:val="nil"/>
              <w:right w:val="nil"/>
            </w:tcBorders>
            <w:shd w:val="clear" w:color="auto" w:fill="FC647C"/>
            <w:tcMar>
              <w:top w:w="0" w:type="dxa"/>
              <w:left w:w="0" w:type="dxa"/>
              <w:bottom w:w="0" w:type="dxa"/>
              <w:right w:w="0" w:type="dxa"/>
            </w:tcMar>
            <w:vAlign w:val="bottom"/>
          </w:tcPr>
          <w:p w14:paraId="52D29959"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0%</w:t>
            </w:r>
          </w:p>
        </w:tc>
        <w:tc>
          <w:tcPr>
            <w:tcW w:w="2224" w:type="dxa"/>
            <w:tcBorders>
              <w:top w:val="nil"/>
              <w:left w:val="nil"/>
              <w:bottom w:val="nil"/>
              <w:right w:val="nil"/>
            </w:tcBorders>
            <w:shd w:val="clear" w:color="auto" w:fill="DAF2D0"/>
            <w:tcMar>
              <w:top w:w="0" w:type="dxa"/>
              <w:left w:w="0" w:type="dxa"/>
              <w:bottom w:w="0" w:type="dxa"/>
              <w:right w:w="0" w:type="dxa"/>
            </w:tcMar>
            <w:vAlign w:val="bottom"/>
          </w:tcPr>
          <w:p w14:paraId="7451BCED"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484" w:type="dxa"/>
            <w:tcBorders>
              <w:top w:val="nil"/>
              <w:left w:val="nil"/>
              <w:bottom w:val="nil"/>
              <w:right w:val="nil"/>
            </w:tcBorders>
            <w:shd w:val="clear" w:color="auto" w:fill="DAF2D0"/>
            <w:tcMar>
              <w:top w:w="0" w:type="dxa"/>
              <w:left w:w="0" w:type="dxa"/>
              <w:bottom w:w="0" w:type="dxa"/>
              <w:right w:w="0" w:type="dxa"/>
            </w:tcMar>
            <w:vAlign w:val="bottom"/>
          </w:tcPr>
          <w:p w14:paraId="7EC9C8E1"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r>
      <w:tr w:rsidR="007567A6" w:rsidRPr="000F5C6F" w14:paraId="086557B8" w14:textId="77777777" w:rsidTr="00B2438D">
        <w:trPr>
          <w:cantSplit/>
          <w:trHeight w:val="312"/>
        </w:trPr>
        <w:tc>
          <w:tcPr>
            <w:tcW w:w="2275" w:type="dxa"/>
            <w:tcBorders>
              <w:top w:val="nil"/>
              <w:left w:val="nil"/>
              <w:bottom w:val="nil"/>
              <w:right w:val="nil"/>
            </w:tcBorders>
            <w:tcMar>
              <w:top w:w="0" w:type="dxa"/>
              <w:left w:w="0" w:type="dxa"/>
              <w:bottom w:w="0" w:type="dxa"/>
              <w:right w:w="0" w:type="dxa"/>
            </w:tcMar>
            <w:vAlign w:val="bottom"/>
          </w:tcPr>
          <w:p w14:paraId="2649FF3B"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QLD</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7FD150E6"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88%</w:t>
            </w:r>
          </w:p>
        </w:tc>
        <w:tc>
          <w:tcPr>
            <w:tcW w:w="2224" w:type="dxa"/>
            <w:tcBorders>
              <w:top w:val="nil"/>
              <w:left w:val="nil"/>
              <w:bottom w:val="nil"/>
              <w:right w:val="nil"/>
            </w:tcBorders>
            <w:shd w:val="clear" w:color="auto" w:fill="DAF2D0"/>
            <w:tcMar>
              <w:top w:w="0" w:type="dxa"/>
              <w:left w:w="0" w:type="dxa"/>
              <w:bottom w:w="0" w:type="dxa"/>
              <w:right w:w="0" w:type="dxa"/>
            </w:tcMar>
            <w:vAlign w:val="bottom"/>
          </w:tcPr>
          <w:p w14:paraId="1C1978EC"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484" w:type="dxa"/>
            <w:tcBorders>
              <w:top w:val="nil"/>
              <w:left w:val="nil"/>
              <w:bottom w:val="nil"/>
              <w:right w:val="nil"/>
            </w:tcBorders>
            <w:shd w:val="clear" w:color="auto" w:fill="DAF2D0"/>
            <w:tcMar>
              <w:top w:w="0" w:type="dxa"/>
              <w:left w:w="0" w:type="dxa"/>
              <w:bottom w:w="0" w:type="dxa"/>
              <w:right w:w="0" w:type="dxa"/>
            </w:tcMar>
            <w:vAlign w:val="bottom"/>
          </w:tcPr>
          <w:p w14:paraId="1840C8D5"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r>
      <w:tr w:rsidR="007567A6" w:rsidRPr="000F5C6F" w14:paraId="68E22FB3" w14:textId="77777777" w:rsidTr="00B2438D">
        <w:trPr>
          <w:cantSplit/>
          <w:trHeight w:val="295"/>
        </w:trPr>
        <w:tc>
          <w:tcPr>
            <w:tcW w:w="2275" w:type="dxa"/>
            <w:tcBorders>
              <w:top w:val="nil"/>
              <w:left w:val="nil"/>
              <w:bottom w:val="nil"/>
              <w:right w:val="nil"/>
            </w:tcBorders>
            <w:tcMar>
              <w:top w:w="0" w:type="dxa"/>
              <w:left w:w="0" w:type="dxa"/>
              <w:bottom w:w="0" w:type="dxa"/>
              <w:right w:w="0" w:type="dxa"/>
            </w:tcMar>
            <w:vAlign w:val="bottom"/>
          </w:tcPr>
          <w:p w14:paraId="32E2D422"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SA</w:t>
            </w:r>
          </w:p>
        </w:tc>
        <w:tc>
          <w:tcPr>
            <w:tcW w:w="2224" w:type="dxa"/>
            <w:tcBorders>
              <w:top w:val="nil"/>
              <w:left w:val="nil"/>
              <w:bottom w:val="nil"/>
              <w:right w:val="nil"/>
            </w:tcBorders>
            <w:shd w:val="clear" w:color="auto" w:fill="FC647C"/>
            <w:tcMar>
              <w:top w:w="0" w:type="dxa"/>
              <w:left w:w="0" w:type="dxa"/>
              <w:bottom w:w="0" w:type="dxa"/>
              <w:right w:w="0" w:type="dxa"/>
            </w:tcMar>
            <w:vAlign w:val="bottom"/>
          </w:tcPr>
          <w:p w14:paraId="42F0EF39"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0%</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30163380"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50%</w:t>
            </w:r>
          </w:p>
        </w:tc>
        <w:tc>
          <w:tcPr>
            <w:tcW w:w="2484" w:type="dxa"/>
            <w:tcBorders>
              <w:top w:val="nil"/>
              <w:left w:val="nil"/>
              <w:bottom w:val="nil"/>
              <w:right w:val="nil"/>
            </w:tcBorders>
            <w:shd w:val="clear" w:color="auto" w:fill="FBE2D5"/>
            <w:tcMar>
              <w:top w:w="0" w:type="dxa"/>
              <w:left w:w="0" w:type="dxa"/>
              <w:bottom w:w="0" w:type="dxa"/>
              <w:right w:w="0" w:type="dxa"/>
            </w:tcMar>
            <w:vAlign w:val="bottom"/>
          </w:tcPr>
          <w:p w14:paraId="5EC28E83"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75%</w:t>
            </w:r>
          </w:p>
        </w:tc>
      </w:tr>
      <w:tr w:rsidR="007567A6" w:rsidRPr="000F5C6F" w14:paraId="0398760C" w14:textId="77777777" w:rsidTr="00B2438D">
        <w:trPr>
          <w:cantSplit/>
          <w:trHeight w:val="295"/>
        </w:trPr>
        <w:tc>
          <w:tcPr>
            <w:tcW w:w="2275" w:type="dxa"/>
            <w:tcBorders>
              <w:top w:val="nil"/>
              <w:left w:val="nil"/>
              <w:bottom w:val="nil"/>
              <w:right w:val="nil"/>
            </w:tcBorders>
            <w:tcMar>
              <w:top w:w="0" w:type="dxa"/>
              <w:left w:w="0" w:type="dxa"/>
              <w:bottom w:w="0" w:type="dxa"/>
              <w:right w:w="0" w:type="dxa"/>
            </w:tcMar>
            <w:vAlign w:val="bottom"/>
          </w:tcPr>
          <w:p w14:paraId="484CC663"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TAS</w:t>
            </w:r>
          </w:p>
        </w:tc>
        <w:tc>
          <w:tcPr>
            <w:tcW w:w="2224" w:type="dxa"/>
            <w:tcBorders>
              <w:top w:val="nil"/>
              <w:left w:val="nil"/>
              <w:bottom w:val="nil"/>
              <w:right w:val="nil"/>
            </w:tcBorders>
            <w:shd w:val="clear" w:color="auto" w:fill="FC647C"/>
            <w:tcMar>
              <w:top w:w="0" w:type="dxa"/>
              <w:left w:w="0" w:type="dxa"/>
              <w:bottom w:w="0" w:type="dxa"/>
              <w:right w:w="0" w:type="dxa"/>
            </w:tcMar>
            <w:vAlign w:val="bottom"/>
          </w:tcPr>
          <w:p w14:paraId="44638E12"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0%</w:t>
            </w:r>
          </w:p>
        </w:tc>
        <w:tc>
          <w:tcPr>
            <w:tcW w:w="2224" w:type="dxa"/>
            <w:tcBorders>
              <w:top w:val="nil"/>
              <w:left w:val="nil"/>
              <w:bottom w:val="nil"/>
              <w:right w:val="nil"/>
            </w:tcBorders>
            <w:shd w:val="clear" w:color="auto" w:fill="DAF2D0"/>
            <w:tcMar>
              <w:top w:w="0" w:type="dxa"/>
              <w:left w:w="0" w:type="dxa"/>
              <w:bottom w:w="0" w:type="dxa"/>
              <w:right w:w="0" w:type="dxa"/>
            </w:tcMar>
            <w:vAlign w:val="bottom"/>
          </w:tcPr>
          <w:p w14:paraId="3A4E14AB"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484" w:type="dxa"/>
            <w:tcBorders>
              <w:top w:val="nil"/>
              <w:left w:val="nil"/>
              <w:bottom w:val="nil"/>
              <w:right w:val="nil"/>
            </w:tcBorders>
            <w:shd w:val="clear" w:color="auto" w:fill="DAF2D0"/>
            <w:tcMar>
              <w:top w:w="0" w:type="dxa"/>
              <w:left w:w="0" w:type="dxa"/>
              <w:bottom w:w="0" w:type="dxa"/>
              <w:right w:w="0" w:type="dxa"/>
            </w:tcMar>
            <w:vAlign w:val="bottom"/>
          </w:tcPr>
          <w:p w14:paraId="607BAC93"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r>
      <w:tr w:rsidR="007567A6" w:rsidRPr="000F5C6F" w14:paraId="50405CF9" w14:textId="77777777" w:rsidTr="00B2438D">
        <w:trPr>
          <w:cantSplit/>
          <w:trHeight w:val="312"/>
        </w:trPr>
        <w:tc>
          <w:tcPr>
            <w:tcW w:w="2275" w:type="dxa"/>
            <w:tcBorders>
              <w:top w:val="nil"/>
              <w:left w:val="nil"/>
              <w:bottom w:val="nil"/>
              <w:right w:val="nil"/>
            </w:tcBorders>
            <w:tcMar>
              <w:top w:w="0" w:type="dxa"/>
              <w:left w:w="0" w:type="dxa"/>
              <w:bottom w:w="0" w:type="dxa"/>
              <w:right w:w="0" w:type="dxa"/>
            </w:tcMar>
            <w:vAlign w:val="bottom"/>
          </w:tcPr>
          <w:p w14:paraId="0AF55A64"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VIC</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0199725E"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63%</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76C530EC"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75%</w:t>
            </w:r>
          </w:p>
        </w:tc>
        <w:tc>
          <w:tcPr>
            <w:tcW w:w="2484" w:type="dxa"/>
            <w:tcBorders>
              <w:top w:val="nil"/>
              <w:left w:val="nil"/>
              <w:bottom w:val="nil"/>
              <w:right w:val="nil"/>
            </w:tcBorders>
            <w:shd w:val="clear" w:color="auto" w:fill="FBE2D5"/>
            <w:tcMar>
              <w:top w:w="0" w:type="dxa"/>
              <w:left w:w="0" w:type="dxa"/>
              <w:bottom w:w="0" w:type="dxa"/>
              <w:right w:w="0" w:type="dxa"/>
            </w:tcMar>
            <w:vAlign w:val="bottom"/>
          </w:tcPr>
          <w:p w14:paraId="05F2D775"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88%</w:t>
            </w:r>
          </w:p>
        </w:tc>
      </w:tr>
      <w:tr w:rsidR="007567A6" w:rsidRPr="000F5C6F" w14:paraId="625BB7E4" w14:textId="77777777" w:rsidTr="00B2438D">
        <w:trPr>
          <w:cantSplit/>
          <w:trHeight w:val="295"/>
        </w:trPr>
        <w:tc>
          <w:tcPr>
            <w:tcW w:w="2275" w:type="dxa"/>
            <w:tcBorders>
              <w:top w:val="nil"/>
              <w:left w:val="nil"/>
              <w:bottom w:val="nil"/>
              <w:right w:val="nil"/>
            </w:tcBorders>
            <w:tcMar>
              <w:top w:w="0" w:type="dxa"/>
              <w:left w:w="0" w:type="dxa"/>
              <w:bottom w:w="0" w:type="dxa"/>
              <w:right w:w="0" w:type="dxa"/>
            </w:tcMar>
            <w:vAlign w:val="bottom"/>
          </w:tcPr>
          <w:p w14:paraId="503BA282"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WA</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1AD63E34"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50%</w:t>
            </w:r>
          </w:p>
        </w:tc>
        <w:tc>
          <w:tcPr>
            <w:tcW w:w="2224" w:type="dxa"/>
            <w:tcBorders>
              <w:top w:val="nil"/>
              <w:left w:val="nil"/>
              <w:bottom w:val="nil"/>
              <w:right w:val="nil"/>
            </w:tcBorders>
            <w:shd w:val="clear" w:color="auto" w:fill="FBE2D5"/>
            <w:tcMar>
              <w:top w:w="0" w:type="dxa"/>
              <w:left w:w="0" w:type="dxa"/>
              <w:bottom w:w="0" w:type="dxa"/>
              <w:right w:w="0" w:type="dxa"/>
            </w:tcMar>
            <w:vAlign w:val="bottom"/>
          </w:tcPr>
          <w:p w14:paraId="281D16BA"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25%</w:t>
            </w:r>
          </w:p>
        </w:tc>
        <w:tc>
          <w:tcPr>
            <w:tcW w:w="2484" w:type="dxa"/>
            <w:tcBorders>
              <w:top w:val="nil"/>
              <w:left w:val="nil"/>
              <w:bottom w:val="nil"/>
              <w:right w:val="nil"/>
            </w:tcBorders>
            <w:shd w:val="clear" w:color="auto" w:fill="FBE2D5"/>
            <w:tcMar>
              <w:top w:w="0" w:type="dxa"/>
              <w:left w:w="0" w:type="dxa"/>
              <w:bottom w:w="0" w:type="dxa"/>
              <w:right w:w="0" w:type="dxa"/>
            </w:tcMar>
            <w:vAlign w:val="bottom"/>
          </w:tcPr>
          <w:p w14:paraId="7EFD9C22"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25%</w:t>
            </w:r>
          </w:p>
        </w:tc>
      </w:tr>
      <w:tr w:rsidR="007567A6" w:rsidRPr="000F5C6F" w14:paraId="157C6BAC" w14:textId="77777777" w:rsidTr="00B2438D">
        <w:trPr>
          <w:cantSplit/>
          <w:trHeight w:val="295"/>
        </w:trPr>
        <w:tc>
          <w:tcPr>
            <w:tcW w:w="2275" w:type="dxa"/>
            <w:tcBorders>
              <w:top w:val="nil"/>
              <w:left w:val="nil"/>
              <w:bottom w:val="single" w:sz="4" w:space="0" w:color="auto"/>
              <w:right w:val="nil"/>
            </w:tcBorders>
            <w:tcMar>
              <w:top w:w="0" w:type="dxa"/>
              <w:left w:w="0" w:type="dxa"/>
              <w:bottom w:w="0" w:type="dxa"/>
              <w:right w:w="0" w:type="dxa"/>
            </w:tcMar>
            <w:vAlign w:val="bottom"/>
          </w:tcPr>
          <w:p w14:paraId="73AA8343"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NAT</w:t>
            </w:r>
          </w:p>
        </w:tc>
        <w:tc>
          <w:tcPr>
            <w:tcW w:w="2224" w:type="dxa"/>
            <w:tcBorders>
              <w:top w:val="nil"/>
              <w:left w:val="nil"/>
              <w:bottom w:val="single" w:sz="4" w:space="0" w:color="auto"/>
              <w:right w:val="nil"/>
            </w:tcBorders>
            <w:shd w:val="clear" w:color="auto" w:fill="DAF2D0"/>
            <w:tcMar>
              <w:top w:w="0" w:type="dxa"/>
              <w:left w:w="0" w:type="dxa"/>
              <w:bottom w:w="0" w:type="dxa"/>
              <w:right w:w="0" w:type="dxa"/>
            </w:tcMar>
            <w:vAlign w:val="bottom"/>
          </w:tcPr>
          <w:p w14:paraId="6F7A8E95"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224" w:type="dxa"/>
            <w:tcBorders>
              <w:top w:val="nil"/>
              <w:left w:val="nil"/>
              <w:bottom w:val="single" w:sz="4" w:space="0" w:color="auto"/>
              <w:right w:val="nil"/>
            </w:tcBorders>
            <w:shd w:val="clear" w:color="auto" w:fill="DAF2D0"/>
            <w:tcMar>
              <w:top w:w="0" w:type="dxa"/>
              <w:left w:w="0" w:type="dxa"/>
              <w:bottom w:w="0" w:type="dxa"/>
              <w:right w:w="0" w:type="dxa"/>
            </w:tcMar>
            <w:vAlign w:val="bottom"/>
          </w:tcPr>
          <w:p w14:paraId="4BBCE409"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c>
          <w:tcPr>
            <w:tcW w:w="2484" w:type="dxa"/>
            <w:tcBorders>
              <w:top w:val="nil"/>
              <w:left w:val="nil"/>
              <w:bottom w:val="single" w:sz="4" w:space="0" w:color="auto"/>
              <w:right w:val="nil"/>
            </w:tcBorders>
            <w:shd w:val="clear" w:color="auto" w:fill="DAF2D0"/>
            <w:tcMar>
              <w:top w:w="0" w:type="dxa"/>
              <w:left w:w="0" w:type="dxa"/>
              <w:bottom w:w="0" w:type="dxa"/>
              <w:right w:w="0" w:type="dxa"/>
            </w:tcMar>
            <w:vAlign w:val="bottom"/>
          </w:tcPr>
          <w:p w14:paraId="28851B7E"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100%</w:t>
            </w:r>
          </w:p>
        </w:tc>
      </w:tr>
      <w:tr w:rsidR="007567A6" w:rsidRPr="000F5C6F" w14:paraId="7E2FA3FD" w14:textId="77777777" w:rsidTr="00B2438D">
        <w:trPr>
          <w:cantSplit/>
          <w:trHeight w:val="295"/>
        </w:trPr>
        <w:tc>
          <w:tcPr>
            <w:tcW w:w="2275" w:type="dxa"/>
            <w:tcBorders>
              <w:top w:val="single" w:sz="4" w:space="0" w:color="auto"/>
              <w:left w:val="nil"/>
              <w:bottom w:val="single" w:sz="4" w:space="0" w:color="auto"/>
              <w:right w:val="nil"/>
            </w:tcBorders>
            <w:tcMar>
              <w:top w:w="0" w:type="dxa"/>
              <w:left w:w="0" w:type="dxa"/>
              <w:bottom w:w="0" w:type="dxa"/>
              <w:right w:w="0" w:type="dxa"/>
            </w:tcMar>
            <w:vAlign w:val="bottom"/>
          </w:tcPr>
          <w:p w14:paraId="613B501E"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TOTAL</w:t>
            </w:r>
          </w:p>
        </w:tc>
        <w:tc>
          <w:tcPr>
            <w:tcW w:w="2224" w:type="dxa"/>
            <w:tcBorders>
              <w:top w:val="single" w:sz="4" w:space="0" w:color="auto"/>
              <w:left w:val="nil"/>
              <w:bottom w:val="single" w:sz="4" w:space="0" w:color="auto"/>
              <w:right w:val="nil"/>
            </w:tcBorders>
            <w:tcMar>
              <w:top w:w="0" w:type="dxa"/>
              <w:left w:w="0" w:type="dxa"/>
              <w:bottom w:w="0" w:type="dxa"/>
              <w:right w:w="0" w:type="dxa"/>
            </w:tcMar>
            <w:vAlign w:val="bottom"/>
          </w:tcPr>
          <w:p w14:paraId="3B7D764D"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51%</w:t>
            </w:r>
          </w:p>
        </w:tc>
        <w:tc>
          <w:tcPr>
            <w:tcW w:w="2224" w:type="dxa"/>
            <w:tcBorders>
              <w:top w:val="single" w:sz="4" w:space="0" w:color="auto"/>
              <w:left w:val="nil"/>
              <w:bottom w:val="single" w:sz="4" w:space="0" w:color="auto"/>
              <w:right w:val="nil"/>
            </w:tcBorders>
            <w:tcMar>
              <w:top w:w="0" w:type="dxa"/>
              <w:left w:w="0" w:type="dxa"/>
              <w:bottom w:w="0" w:type="dxa"/>
              <w:right w:w="0" w:type="dxa"/>
            </w:tcMar>
            <w:vAlign w:val="bottom"/>
          </w:tcPr>
          <w:p w14:paraId="573034EC"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82%</w:t>
            </w:r>
          </w:p>
        </w:tc>
        <w:tc>
          <w:tcPr>
            <w:tcW w:w="2484" w:type="dxa"/>
            <w:tcBorders>
              <w:top w:val="single" w:sz="4" w:space="0" w:color="auto"/>
              <w:left w:val="nil"/>
              <w:bottom w:val="single" w:sz="4" w:space="0" w:color="auto"/>
              <w:right w:val="nil"/>
            </w:tcBorders>
            <w:tcMar>
              <w:top w:w="0" w:type="dxa"/>
              <w:left w:w="0" w:type="dxa"/>
              <w:bottom w:w="0" w:type="dxa"/>
              <w:right w:w="0" w:type="dxa"/>
            </w:tcMar>
            <w:vAlign w:val="bottom"/>
          </w:tcPr>
          <w:p w14:paraId="6F6B307A" w14:textId="77777777" w:rsidR="007567A6" w:rsidRPr="000F5C6F" w:rsidRDefault="003E0637" w:rsidP="000F5C6F">
            <w:pPr>
              <w:spacing w:line="240" w:lineRule="auto"/>
              <w:jc w:val="both"/>
              <w:rPr>
                <w:rFonts w:ascii="Times New Roman" w:hAnsi="Times New Roman" w:cs="Times New Roman"/>
              </w:rPr>
            </w:pPr>
            <w:r w:rsidRPr="000F5C6F">
              <w:rPr>
                <w:rFonts w:ascii="Times New Roman" w:hAnsi="Times New Roman" w:cs="Times New Roman"/>
              </w:rPr>
              <w:t>87%</w:t>
            </w:r>
          </w:p>
        </w:tc>
      </w:tr>
    </w:tbl>
    <w:p w14:paraId="4DB7F3AA" w14:textId="77777777" w:rsidR="00F73CDF" w:rsidRPr="000F5C6F" w:rsidRDefault="00F73CDF" w:rsidP="00F73CDF">
      <w:pPr>
        <w:spacing w:before="240" w:after="360" w:line="240" w:lineRule="auto"/>
        <w:ind w:left="720"/>
        <w:jc w:val="both"/>
        <w:rPr>
          <w:rFonts w:ascii="Times New Roman" w:hAnsi="Times New Roman" w:cs="Times New Roman"/>
        </w:rPr>
      </w:pPr>
      <w:r w:rsidRPr="000F5C6F">
        <w:rPr>
          <w:rFonts w:ascii="Times New Roman" w:hAnsi="Times New Roman" w:cs="Times New Roman"/>
        </w:rPr>
        <w:t>ICT/DL is absent from primary UG program</w:t>
      </w:r>
      <w:r>
        <w:rPr>
          <w:rFonts w:ascii="Times New Roman" w:hAnsi="Times New Roman" w:cs="Times New Roman"/>
        </w:rPr>
        <w:t>me</w:t>
      </w:r>
      <w:r w:rsidRPr="000F5C6F">
        <w:rPr>
          <w:rFonts w:ascii="Times New Roman" w:hAnsi="Times New Roman" w:cs="Times New Roman"/>
        </w:rPr>
        <w:t>s in the NT, SA, and Tasmania, with Western Australia having significantly fewer institutions offering technology education in their primary program</w:t>
      </w:r>
      <w:r>
        <w:rPr>
          <w:rFonts w:ascii="Times New Roman" w:hAnsi="Times New Roman" w:cs="Times New Roman"/>
        </w:rPr>
        <w:t>me</w:t>
      </w:r>
      <w:r w:rsidRPr="000F5C6F">
        <w:rPr>
          <w:rFonts w:ascii="Times New Roman" w:hAnsi="Times New Roman" w:cs="Times New Roman"/>
        </w:rPr>
        <w:t xml:space="preserve">s (Table 2). </w:t>
      </w:r>
    </w:p>
    <w:tbl>
      <w:tblPr>
        <w:tblW w:w="9179" w:type="dxa"/>
        <w:tblLook w:val="04A0" w:firstRow="1" w:lastRow="0" w:firstColumn="1" w:lastColumn="0" w:noHBand="0" w:noVBand="1"/>
      </w:tblPr>
      <w:tblGrid>
        <w:gridCol w:w="2294"/>
        <w:gridCol w:w="2294"/>
        <w:gridCol w:w="2294"/>
        <w:gridCol w:w="2297"/>
      </w:tblGrid>
      <w:tr w:rsidR="0070239A" w:rsidRPr="000F5C6F" w14:paraId="26E3594A" w14:textId="77777777" w:rsidTr="00B2438D">
        <w:trPr>
          <w:trHeight w:val="314"/>
        </w:trPr>
        <w:tc>
          <w:tcPr>
            <w:tcW w:w="9179" w:type="dxa"/>
            <w:gridSpan w:val="4"/>
            <w:tcBorders>
              <w:top w:val="nil"/>
              <w:left w:val="nil"/>
              <w:bottom w:val="single" w:sz="4" w:space="0" w:color="auto"/>
              <w:right w:val="nil"/>
            </w:tcBorders>
            <w:noWrap/>
            <w:vAlign w:val="bottom"/>
            <w:hideMark/>
          </w:tcPr>
          <w:p w14:paraId="5E8A5B5A" w14:textId="57786D8F" w:rsidR="0070239A" w:rsidRPr="00536354" w:rsidRDefault="0070239A" w:rsidP="000F5C6F">
            <w:pPr>
              <w:spacing w:line="240" w:lineRule="auto"/>
              <w:jc w:val="both"/>
              <w:rPr>
                <w:rFonts w:ascii="Times New Roman" w:eastAsia="Times New Roman" w:hAnsi="Times New Roman" w:cs="Times New Roman"/>
                <w:b/>
                <w:bCs/>
                <w:color w:val="000000"/>
                <w:lang w:val="en-AU"/>
              </w:rPr>
            </w:pPr>
            <w:r w:rsidRPr="00536354">
              <w:rPr>
                <w:rFonts w:ascii="Times New Roman" w:eastAsia="Times New Roman" w:hAnsi="Times New Roman" w:cs="Times New Roman"/>
                <w:b/>
                <w:bCs/>
                <w:color w:val="000000"/>
                <w:lang w:val="en-AU"/>
              </w:rPr>
              <w:t>Table 3</w:t>
            </w:r>
            <w:r w:rsidR="00536354" w:rsidRPr="00536354">
              <w:rPr>
                <w:rFonts w:ascii="Times New Roman" w:eastAsia="Times New Roman" w:hAnsi="Times New Roman" w:cs="Times New Roman"/>
                <w:b/>
                <w:bCs/>
                <w:color w:val="000000"/>
                <w:lang w:val="en-AU"/>
              </w:rPr>
              <w:t>:</w:t>
            </w:r>
          </w:p>
          <w:p w14:paraId="19673184" w14:textId="2D610A55" w:rsidR="0070239A" w:rsidRPr="000F5C6F" w:rsidRDefault="000C3DA1" w:rsidP="00536354">
            <w:pPr>
              <w:spacing w:after="120" w:line="240" w:lineRule="auto"/>
              <w:jc w:val="both"/>
              <w:rPr>
                <w:rFonts w:ascii="Times New Roman" w:eastAsia="Times New Roman" w:hAnsi="Times New Roman" w:cs="Times New Roman"/>
                <w:lang w:val="en-AU"/>
              </w:rPr>
            </w:pPr>
            <w:r w:rsidRPr="000F5C6F">
              <w:rPr>
                <w:rFonts w:ascii="Times New Roman" w:hAnsi="Times New Roman" w:cs="Times New Roman"/>
                <w:bCs/>
                <w:i/>
                <w:iCs/>
              </w:rPr>
              <w:t xml:space="preserve">Postgraduate Primary Courses Technologies Education </w:t>
            </w:r>
            <w:r w:rsidR="00502BAE" w:rsidRPr="000F5C6F">
              <w:rPr>
                <w:rFonts w:ascii="Times New Roman" w:hAnsi="Times New Roman" w:cs="Times New Roman"/>
                <w:bCs/>
                <w:i/>
                <w:iCs/>
              </w:rPr>
              <w:t>I</w:t>
            </w:r>
            <w:r w:rsidRPr="000F5C6F">
              <w:rPr>
                <w:rFonts w:ascii="Times New Roman" w:hAnsi="Times New Roman" w:cs="Times New Roman"/>
                <w:bCs/>
                <w:i/>
                <w:iCs/>
              </w:rPr>
              <w:t>nclusion</w:t>
            </w:r>
          </w:p>
        </w:tc>
      </w:tr>
      <w:tr w:rsidR="0070239A" w:rsidRPr="000F5C6F" w14:paraId="6E286C92" w14:textId="77777777" w:rsidTr="00F73CDF">
        <w:trPr>
          <w:trHeight w:val="314"/>
        </w:trPr>
        <w:tc>
          <w:tcPr>
            <w:tcW w:w="2294" w:type="dxa"/>
            <w:tcBorders>
              <w:top w:val="single" w:sz="4" w:space="0" w:color="auto"/>
              <w:left w:val="nil"/>
              <w:bottom w:val="single" w:sz="4" w:space="0" w:color="auto"/>
              <w:right w:val="nil"/>
            </w:tcBorders>
            <w:noWrap/>
            <w:vAlign w:val="bottom"/>
            <w:hideMark/>
          </w:tcPr>
          <w:p w14:paraId="7AE53888" w14:textId="4F9BCEF2" w:rsidR="0070239A" w:rsidRPr="000F5C6F" w:rsidRDefault="0070239A" w:rsidP="000F5C6F">
            <w:pPr>
              <w:spacing w:line="240" w:lineRule="auto"/>
              <w:jc w:val="both"/>
              <w:rPr>
                <w:rFonts w:ascii="Times New Roman" w:eastAsia="Times New Roman" w:hAnsi="Times New Roman" w:cs="Times New Roman"/>
                <w:color w:val="000000"/>
                <w:lang w:val="en-AU"/>
              </w:rPr>
            </w:pPr>
          </w:p>
        </w:tc>
        <w:tc>
          <w:tcPr>
            <w:tcW w:w="2294" w:type="dxa"/>
            <w:tcBorders>
              <w:top w:val="single" w:sz="4" w:space="0" w:color="auto"/>
              <w:left w:val="nil"/>
              <w:bottom w:val="single" w:sz="4" w:space="0" w:color="auto"/>
              <w:right w:val="nil"/>
            </w:tcBorders>
            <w:noWrap/>
            <w:vAlign w:val="bottom"/>
            <w:hideMark/>
          </w:tcPr>
          <w:p w14:paraId="46B6B2A4"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ICT/DL</w:t>
            </w:r>
          </w:p>
        </w:tc>
        <w:tc>
          <w:tcPr>
            <w:tcW w:w="2294" w:type="dxa"/>
            <w:tcBorders>
              <w:top w:val="single" w:sz="4" w:space="0" w:color="auto"/>
              <w:left w:val="nil"/>
              <w:bottom w:val="single" w:sz="4" w:space="0" w:color="auto"/>
              <w:right w:val="nil"/>
            </w:tcBorders>
            <w:noWrap/>
            <w:vAlign w:val="bottom"/>
            <w:hideMark/>
          </w:tcPr>
          <w:p w14:paraId="69F01385"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Digital</w:t>
            </w:r>
          </w:p>
        </w:tc>
        <w:tc>
          <w:tcPr>
            <w:tcW w:w="2297" w:type="dxa"/>
            <w:tcBorders>
              <w:top w:val="single" w:sz="4" w:space="0" w:color="auto"/>
              <w:left w:val="nil"/>
              <w:bottom w:val="single" w:sz="4" w:space="0" w:color="auto"/>
              <w:right w:val="nil"/>
            </w:tcBorders>
            <w:noWrap/>
            <w:vAlign w:val="bottom"/>
            <w:hideMark/>
          </w:tcPr>
          <w:p w14:paraId="3A29BC45"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Design</w:t>
            </w:r>
          </w:p>
        </w:tc>
      </w:tr>
      <w:tr w:rsidR="0070239A" w:rsidRPr="000F5C6F" w14:paraId="3B2CFE2F" w14:textId="77777777" w:rsidTr="00F73CDF">
        <w:trPr>
          <w:trHeight w:val="314"/>
        </w:trPr>
        <w:tc>
          <w:tcPr>
            <w:tcW w:w="2294" w:type="dxa"/>
            <w:tcBorders>
              <w:top w:val="single" w:sz="4" w:space="0" w:color="auto"/>
              <w:left w:val="nil"/>
              <w:bottom w:val="nil"/>
              <w:right w:val="nil"/>
            </w:tcBorders>
            <w:noWrap/>
            <w:vAlign w:val="bottom"/>
            <w:hideMark/>
          </w:tcPr>
          <w:p w14:paraId="1FD9FE26"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ACT</w:t>
            </w:r>
          </w:p>
        </w:tc>
        <w:tc>
          <w:tcPr>
            <w:tcW w:w="2294" w:type="dxa"/>
            <w:tcBorders>
              <w:top w:val="single" w:sz="4" w:space="0" w:color="auto"/>
              <w:left w:val="nil"/>
              <w:bottom w:val="nil"/>
              <w:right w:val="nil"/>
            </w:tcBorders>
            <w:shd w:val="clear" w:color="000000" w:fill="FC647C"/>
            <w:noWrap/>
            <w:vAlign w:val="bottom"/>
            <w:hideMark/>
          </w:tcPr>
          <w:p w14:paraId="08F7BADF"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2294" w:type="dxa"/>
            <w:tcBorders>
              <w:top w:val="single" w:sz="4" w:space="0" w:color="auto"/>
              <w:left w:val="nil"/>
              <w:bottom w:val="nil"/>
              <w:right w:val="nil"/>
            </w:tcBorders>
            <w:shd w:val="clear" w:color="000000" w:fill="DAF2D0"/>
            <w:noWrap/>
            <w:vAlign w:val="bottom"/>
            <w:hideMark/>
          </w:tcPr>
          <w:p w14:paraId="22C89FEE"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297" w:type="dxa"/>
            <w:tcBorders>
              <w:top w:val="single" w:sz="4" w:space="0" w:color="auto"/>
              <w:left w:val="nil"/>
              <w:bottom w:val="nil"/>
              <w:right w:val="nil"/>
            </w:tcBorders>
            <w:shd w:val="clear" w:color="000000" w:fill="DAF2D0"/>
            <w:noWrap/>
            <w:vAlign w:val="bottom"/>
            <w:hideMark/>
          </w:tcPr>
          <w:p w14:paraId="05AC39AB"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r>
      <w:tr w:rsidR="0070239A" w:rsidRPr="000F5C6F" w14:paraId="19D4F2A8" w14:textId="77777777" w:rsidTr="00F73CDF">
        <w:trPr>
          <w:trHeight w:val="314"/>
        </w:trPr>
        <w:tc>
          <w:tcPr>
            <w:tcW w:w="2294" w:type="dxa"/>
            <w:tcBorders>
              <w:top w:val="nil"/>
              <w:left w:val="nil"/>
              <w:bottom w:val="nil"/>
              <w:right w:val="nil"/>
            </w:tcBorders>
            <w:noWrap/>
            <w:vAlign w:val="bottom"/>
            <w:hideMark/>
          </w:tcPr>
          <w:p w14:paraId="4820193B"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NSW</w:t>
            </w:r>
          </w:p>
        </w:tc>
        <w:tc>
          <w:tcPr>
            <w:tcW w:w="2294" w:type="dxa"/>
            <w:tcBorders>
              <w:top w:val="nil"/>
              <w:left w:val="nil"/>
              <w:bottom w:val="nil"/>
              <w:right w:val="nil"/>
            </w:tcBorders>
            <w:shd w:val="clear" w:color="000000" w:fill="FBE2D5"/>
            <w:noWrap/>
            <w:vAlign w:val="bottom"/>
            <w:hideMark/>
          </w:tcPr>
          <w:p w14:paraId="1274C334"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42%</w:t>
            </w:r>
          </w:p>
        </w:tc>
        <w:tc>
          <w:tcPr>
            <w:tcW w:w="2294" w:type="dxa"/>
            <w:tcBorders>
              <w:top w:val="nil"/>
              <w:left w:val="nil"/>
              <w:bottom w:val="nil"/>
              <w:right w:val="nil"/>
            </w:tcBorders>
            <w:shd w:val="clear" w:color="000000" w:fill="FBE2D5"/>
            <w:noWrap/>
            <w:vAlign w:val="bottom"/>
            <w:hideMark/>
          </w:tcPr>
          <w:p w14:paraId="24716268"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92%</w:t>
            </w:r>
          </w:p>
        </w:tc>
        <w:tc>
          <w:tcPr>
            <w:tcW w:w="2297" w:type="dxa"/>
            <w:tcBorders>
              <w:top w:val="nil"/>
              <w:left w:val="nil"/>
              <w:bottom w:val="nil"/>
              <w:right w:val="nil"/>
            </w:tcBorders>
            <w:shd w:val="clear" w:color="000000" w:fill="FBE2D5"/>
            <w:noWrap/>
            <w:vAlign w:val="bottom"/>
            <w:hideMark/>
          </w:tcPr>
          <w:p w14:paraId="2CD8F252"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92%</w:t>
            </w:r>
          </w:p>
        </w:tc>
      </w:tr>
      <w:tr w:rsidR="0070239A" w:rsidRPr="000F5C6F" w14:paraId="123BB8D1" w14:textId="77777777" w:rsidTr="00F73CDF">
        <w:trPr>
          <w:trHeight w:val="314"/>
        </w:trPr>
        <w:tc>
          <w:tcPr>
            <w:tcW w:w="2294" w:type="dxa"/>
            <w:tcBorders>
              <w:top w:val="nil"/>
              <w:left w:val="nil"/>
              <w:bottom w:val="nil"/>
              <w:right w:val="nil"/>
            </w:tcBorders>
            <w:noWrap/>
            <w:vAlign w:val="bottom"/>
            <w:hideMark/>
          </w:tcPr>
          <w:p w14:paraId="196DD9B8"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NT</w:t>
            </w:r>
          </w:p>
        </w:tc>
        <w:tc>
          <w:tcPr>
            <w:tcW w:w="2294" w:type="dxa"/>
            <w:tcBorders>
              <w:top w:val="nil"/>
              <w:left w:val="nil"/>
              <w:bottom w:val="nil"/>
              <w:right w:val="nil"/>
            </w:tcBorders>
            <w:shd w:val="clear" w:color="000000" w:fill="FC647C"/>
            <w:noWrap/>
            <w:vAlign w:val="bottom"/>
            <w:hideMark/>
          </w:tcPr>
          <w:p w14:paraId="264634A6"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2294" w:type="dxa"/>
            <w:tcBorders>
              <w:top w:val="nil"/>
              <w:left w:val="nil"/>
              <w:bottom w:val="nil"/>
              <w:right w:val="nil"/>
            </w:tcBorders>
            <w:shd w:val="clear" w:color="000000" w:fill="DAF2D0"/>
            <w:noWrap/>
            <w:vAlign w:val="bottom"/>
            <w:hideMark/>
          </w:tcPr>
          <w:p w14:paraId="6E5E7EBF"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297" w:type="dxa"/>
            <w:tcBorders>
              <w:top w:val="nil"/>
              <w:left w:val="nil"/>
              <w:bottom w:val="nil"/>
              <w:right w:val="nil"/>
            </w:tcBorders>
            <w:shd w:val="clear" w:color="000000" w:fill="DAF2D0"/>
            <w:noWrap/>
            <w:vAlign w:val="bottom"/>
            <w:hideMark/>
          </w:tcPr>
          <w:p w14:paraId="3A31594D"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r>
      <w:tr w:rsidR="0070239A" w:rsidRPr="000F5C6F" w14:paraId="07BECDA5" w14:textId="77777777" w:rsidTr="00F73CDF">
        <w:trPr>
          <w:trHeight w:val="314"/>
        </w:trPr>
        <w:tc>
          <w:tcPr>
            <w:tcW w:w="2294" w:type="dxa"/>
            <w:tcBorders>
              <w:top w:val="nil"/>
              <w:left w:val="nil"/>
              <w:bottom w:val="nil"/>
              <w:right w:val="nil"/>
            </w:tcBorders>
            <w:noWrap/>
            <w:vAlign w:val="bottom"/>
            <w:hideMark/>
          </w:tcPr>
          <w:p w14:paraId="182DD53D"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QLD</w:t>
            </w:r>
          </w:p>
        </w:tc>
        <w:tc>
          <w:tcPr>
            <w:tcW w:w="2294" w:type="dxa"/>
            <w:tcBorders>
              <w:top w:val="nil"/>
              <w:left w:val="nil"/>
              <w:bottom w:val="nil"/>
              <w:right w:val="nil"/>
            </w:tcBorders>
            <w:shd w:val="clear" w:color="000000" w:fill="FC647C"/>
            <w:noWrap/>
            <w:vAlign w:val="bottom"/>
            <w:hideMark/>
          </w:tcPr>
          <w:p w14:paraId="315A3830"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2294" w:type="dxa"/>
            <w:tcBorders>
              <w:top w:val="nil"/>
              <w:left w:val="nil"/>
              <w:bottom w:val="nil"/>
              <w:right w:val="nil"/>
            </w:tcBorders>
            <w:shd w:val="clear" w:color="000000" w:fill="FBE2D5"/>
            <w:noWrap/>
            <w:vAlign w:val="bottom"/>
            <w:hideMark/>
          </w:tcPr>
          <w:p w14:paraId="6D2A57A9"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88%</w:t>
            </w:r>
          </w:p>
        </w:tc>
        <w:tc>
          <w:tcPr>
            <w:tcW w:w="2297" w:type="dxa"/>
            <w:tcBorders>
              <w:top w:val="nil"/>
              <w:left w:val="nil"/>
              <w:bottom w:val="nil"/>
              <w:right w:val="nil"/>
            </w:tcBorders>
            <w:shd w:val="clear" w:color="000000" w:fill="FBE2D5"/>
            <w:noWrap/>
            <w:vAlign w:val="bottom"/>
            <w:hideMark/>
          </w:tcPr>
          <w:p w14:paraId="0C71E084"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88%</w:t>
            </w:r>
          </w:p>
        </w:tc>
      </w:tr>
      <w:tr w:rsidR="0070239A" w:rsidRPr="000F5C6F" w14:paraId="3B75CB0E" w14:textId="77777777" w:rsidTr="00F73CDF">
        <w:trPr>
          <w:trHeight w:val="314"/>
        </w:trPr>
        <w:tc>
          <w:tcPr>
            <w:tcW w:w="2294" w:type="dxa"/>
            <w:tcBorders>
              <w:top w:val="nil"/>
              <w:left w:val="nil"/>
              <w:bottom w:val="nil"/>
              <w:right w:val="nil"/>
            </w:tcBorders>
            <w:noWrap/>
            <w:vAlign w:val="bottom"/>
            <w:hideMark/>
          </w:tcPr>
          <w:p w14:paraId="3DE3F46E"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SA</w:t>
            </w:r>
          </w:p>
        </w:tc>
        <w:tc>
          <w:tcPr>
            <w:tcW w:w="2294" w:type="dxa"/>
            <w:tcBorders>
              <w:top w:val="nil"/>
              <w:left w:val="nil"/>
              <w:bottom w:val="nil"/>
              <w:right w:val="nil"/>
            </w:tcBorders>
            <w:shd w:val="clear" w:color="000000" w:fill="FBE2D5"/>
            <w:noWrap/>
            <w:vAlign w:val="bottom"/>
            <w:hideMark/>
          </w:tcPr>
          <w:p w14:paraId="6D24F05B"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25%</w:t>
            </w:r>
          </w:p>
        </w:tc>
        <w:tc>
          <w:tcPr>
            <w:tcW w:w="2294" w:type="dxa"/>
            <w:tcBorders>
              <w:top w:val="nil"/>
              <w:left w:val="nil"/>
              <w:bottom w:val="nil"/>
              <w:right w:val="nil"/>
            </w:tcBorders>
            <w:shd w:val="clear" w:color="000000" w:fill="FBE2D5"/>
            <w:noWrap/>
            <w:vAlign w:val="bottom"/>
            <w:hideMark/>
          </w:tcPr>
          <w:p w14:paraId="3D25CF71"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25%</w:t>
            </w:r>
          </w:p>
        </w:tc>
        <w:tc>
          <w:tcPr>
            <w:tcW w:w="2297" w:type="dxa"/>
            <w:tcBorders>
              <w:top w:val="nil"/>
              <w:left w:val="nil"/>
              <w:bottom w:val="nil"/>
              <w:right w:val="nil"/>
            </w:tcBorders>
            <w:shd w:val="clear" w:color="000000" w:fill="FBE2D5"/>
            <w:noWrap/>
            <w:vAlign w:val="bottom"/>
            <w:hideMark/>
          </w:tcPr>
          <w:p w14:paraId="6E93E99B"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r>
      <w:tr w:rsidR="0070239A" w:rsidRPr="000F5C6F" w14:paraId="7FDE6A8F" w14:textId="77777777" w:rsidTr="00F73CDF">
        <w:trPr>
          <w:trHeight w:val="314"/>
        </w:trPr>
        <w:tc>
          <w:tcPr>
            <w:tcW w:w="2294" w:type="dxa"/>
            <w:tcBorders>
              <w:top w:val="nil"/>
              <w:left w:val="nil"/>
              <w:bottom w:val="nil"/>
              <w:right w:val="nil"/>
            </w:tcBorders>
            <w:noWrap/>
            <w:vAlign w:val="bottom"/>
            <w:hideMark/>
          </w:tcPr>
          <w:p w14:paraId="30FBB9B8"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TAS</w:t>
            </w:r>
          </w:p>
        </w:tc>
        <w:tc>
          <w:tcPr>
            <w:tcW w:w="2294" w:type="dxa"/>
            <w:tcBorders>
              <w:top w:val="nil"/>
              <w:left w:val="nil"/>
              <w:bottom w:val="nil"/>
              <w:right w:val="nil"/>
            </w:tcBorders>
            <w:shd w:val="clear" w:color="000000" w:fill="DAF2D0"/>
            <w:noWrap/>
            <w:vAlign w:val="bottom"/>
            <w:hideMark/>
          </w:tcPr>
          <w:p w14:paraId="44109552"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294" w:type="dxa"/>
            <w:tcBorders>
              <w:top w:val="nil"/>
              <w:left w:val="nil"/>
              <w:bottom w:val="nil"/>
              <w:right w:val="nil"/>
            </w:tcBorders>
            <w:shd w:val="clear" w:color="000000" w:fill="DAF2D0"/>
            <w:noWrap/>
            <w:vAlign w:val="bottom"/>
            <w:hideMark/>
          </w:tcPr>
          <w:p w14:paraId="4B3D3D96"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297" w:type="dxa"/>
            <w:tcBorders>
              <w:top w:val="nil"/>
              <w:left w:val="nil"/>
              <w:bottom w:val="nil"/>
              <w:right w:val="nil"/>
            </w:tcBorders>
            <w:shd w:val="clear" w:color="000000" w:fill="FC647C"/>
            <w:noWrap/>
            <w:vAlign w:val="bottom"/>
            <w:hideMark/>
          </w:tcPr>
          <w:p w14:paraId="07707252"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r>
      <w:tr w:rsidR="0070239A" w:rsidRPr="000F5C6F" w14:paraId="7E7B9F51" w14:textId="77777777" w:rsidTr="00F73CDF">
        <w:trPr>
          <w:trHeight w:val="314"/>
        </w:trPr>
        <w:tc>
          <w:tcPr>
            <w:tcW w:w="2294" w:type="dxa"/>
            <w:tcBorders>
              <w:top w:val="nil"/>
              <w:left w:val="nil"/>
              <w:bottom w:val="nil"/>
              <w:right w:val="nil"/>
            </w:tcBorders>
            <w:noWrap/>
            <w:vAlign w:val="bottom"/>
            <w:hideMark/>
          </w:tcPr>
          <w:p w14:paraId="12AAE7B0"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VIC</w:t>
            </w:r>
          </w:p>
        </w:tc>
        <w:tc>
          <w:tcPr>
            <w:tcW w:w="2294" w:type="dxa"/>
            <w:tcBorders>
              <w:top w:val="nil"/>
              <w:left w:val="nil"/>
              <w:bottom w:val="nil"/>
              <w:right w:val="nil"/>
            </w:tcBorders>
            <w:shd w:val="clear" w:color="000000" w:fill="FC647C"/>
            <w:noWrap/>
            <w:vAlign w:val="bottom"/>
            <w:hideMark/>
          </w:tcPr>
          <w:p w14:paraId="4187089B"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2294" w:type="dxa"/>
            <w:tcBorders>
              <w:top w:val="nil"/>
              <w:left w:val="nil"/>
              <w:bottom w:val="nil"/>
              <w:right w:val="nil"/>
            </w:tcBorders>
            <w:shd w:val="clear" w:color="000000" w:fill="FBE2D5"/>
            <w:noWrap/>
            <w:vAlign w:val="bottom"/>
            <w:hideMark/>
          </w:tcPr>
          <w:p w14:paraId="7461E897"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63%</w:t>
            </w:r>
          </w:p>
        </w:tc>
        <w:tc>
          <w:tcPr>
            <w:tcW w:w="2297" w:type="dxa"/>
            <w:tcBorders>
              <w:top w:val="nil"/>
              <w:left w:val="nil"/>
              <w:bottom w:val="nil"/>
              <w:right w:val="nil"/>
            </w:tcBorders>
            <w:shd w:val="clear" w:color="000000" w:fill="DAF2D0"/>
            <w:noWrap/>
            <w:vAlign w:val="bottom"/>
            <w:hideMark/>
          </w:tcPr>
          <w:p w14:paraId="6B24D13A"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r>
      <w:tr w:rsidR="0070239A" w:rsidRPr="000F5C6F" w14:paraId="1721B413" w14:textId="77777777" w:rsidTr="00F73CDF">
        <w:trPr>
          <w:trHeight w:val="314"/>
        </w:trPr>
        <w:tc>
          <w:tcPr>
            <w:tcW w:w="2294" w:type="dxa"/>
            <w:tcBorders>
              <w:top w:val="nil"/>
              <w:left w:val="nil"/>
              <w:bottom w:val="nil"/>
              <w:right w:val="nil"/>
            </w:tcBorders>
            <w:noWrap/>
            <w:vAlign w:val="bottom"/>
            <w:hideMark/>
          </w:tcPr>
          <w:p w14:paraId="679BF35D"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WA</w:t>
            </w:r>
          </w:p>
        </w:tc>
        <w:tc>
          <w:tcPr>
            <w:tcW w:w="2294" w:type="dxa"/>
            <w:tcBorders>
              <w:top w:val="nil"/>
              <w:left w:val="nil"/>
              <w:bottom w:val="nil"/>
              <w:right w:val="nil"/>
            </w:tcBorders>
            <w:shd w:val="clear" w:color="000000" w:fill="FBE2D5"/>
            <w:noWrap/>
            <w:vAlign w:val="bottom"/>
            <w:hideMark/>
          </w:tcPr>
          <w:p w14:paraId="64D42A3F"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2294" w:type="dxa"/>
            <w:tcBorders>
              <w:top w:val="nil"/>
              <w:left w:val="nil"/>
              <w:bottom w:val="nil"/>
              <w:right w:val="nil"/>
            </w:tcBorders>
            <w:shd w:val="clear" w:color="000000" w:fill="FBE2D5"/>
            <w:noWrap/>
            <w:vAlign w:val="bottom"/>
            <w:hideMark/>
          </w:tcPr>
          <w:p w14:paraId="3A65AF91"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2297" w:type="dxa"/>
            <w:tcBorders>
              <w:top w:val="nil"/>
              <w:left w:val="nil"/>
              <w:bottom w:val="nil"/>
              <w:right w:val="nil"/>
            </w:tcBorders>
            <w:shd w:val="clear" w:color="000000" w:fill="FBE2D5"/>
            <w:noWrap/>
            <w:vAlign w:val="bottom"/>
            <w:hideMark/>
          </w:tcPr>
          <w:p w14:paraId="6A0D311A"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r>
      <w:tr w:rsidR="0070239A" w:rsidRPr="000F5C6F" w14:paraId="7C9DB033" w14:textId="77777777" w:rsidTr="00F73CDF">
        <w:trPr>
          <w:trHeight w:val="314"/>
        </w:trPr>
        <w:tc>
          <w:tcPr>
            <w:tcW w:w="2294" w:type="dxa"/>
            <w:tcBorders>
              <w:top w:val="nil"/>
              <w:left w:val="nil"/>
              <w:bottom w:val="single" w:sz="4" w:space="0" w:color="auto"/>
              <w:right w:val="nil"/>
            </w:tcBorders>
            <w:noWrap/>
            <w:vAlign w:val="bottom"/>
            <w:hideMark/>
          </w:tcPr>
          <w:p w14:paraId="0305F986"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NAT</w:t>
            </w:r>
          </w:p>
        </w:tc>
        <w:tc>
          <w:tcPr>
            <w:tcW w:w="2294" w:type="dxa"/>
            <w:tcBorders>
              <w:top w:val="nil"/>
              <w:left w:val="nil"/>
              <w:bottom w:val="single" w:sz="4" w:space="0" w:color="auto"/>
              <w:right w:val="nil"/>
            </w:tcBorders>
            <w:shd w:val="clear" w:color="000000" w:fill="FBE2D5"/>
            <w:noWrap/>
            <w:vAlign w:val="bottom"/>
            <w:hideMark/>
          </w:tcPr>
          <w:p w14:paraId="17423B23"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2294" w:type="dxa"/>
            <w:tcBorders>
              <w:top w:val="nil"/>
              <w:left w:val="nil"/>
              <w:bottom w:val="single" w:sz="4" w:space="0" w:color="auto"/>
              <w:right w:val="nil"/>
            </w:tcBorders>
            <w:shd w:val="clear" w:color="000000" w:fill="DAF2D0"/>
            <w:noWrap/>
            <w:vAlign w:val="bottom"/>
            <w:hideMark/>
          </w:tcPr>
          <w:p w14:paraId="62E35CB2"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297" w:type="dxa"/>
            <w:tcBorders>
              <w:top w:val="nil"/>
              <w:left w:val="nil"/>
              <w:bottom w:val="single" w:sz="4" w:space="0" w:color="auto"/>
              <w:right w:val="nil"/>
            </w:tcBorders>
            <w:shd w:val="clear" w:color="000000" w:fill="DAF2D0"/>
            <w:noWrap/>
            <w:vAlign w:val="bottom"/>
            <w:hideMark/>
          </w:tcPr>
          <w:p w14:paraId="4768053C"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r>
      <w:tr w:rsidR="0070239A" w:rsidRPr="000F5C6F" w14:paraId="18977DAA" w14:textId="77777777" w:rsidTr="00F73CDF">
        <w:trPr>
          <w:trHeight w:val="314"/>
        </w:trPr>
        <w:tc>
          <w:tcPr>
            <w:tcW w:w="2294" w:type="dxa"/>
            <w:tcBorders>
              <w:top w:val="single" w:sz="4" w:space="0" w:color="auto"/>
              <w:left w:val="nil"/>
              <w:bottom w:val="single" w:sz="4" w:space="0" w:color="auto"/>
              <w:right w:val="nil"/>
            </w:tcBorders>
            <w:noWrap/>
            <w:vAlign w:val="bottom"/>
            <w:hideMark/>
          </w:tcPr>
          <w:p w14:paraId="487D99D3"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TOTAL</w:t>
            </w:r>
          </w:p>
        </w:tc>
        <w:tc>
          <w:tcPr>
            <w:tcW w:w="2294" w:type="dxa"/>
            <w:tcBorders>
              <w:top w:val="single" w:sz="4" w:space="0" w:color="auto"/>
              <w:left w:val="nil"/>
              <w:bottom w:val="single" w:sz="4" w:space="0" w:color="auto"/>
              <w:right w:val="nil"/>
            </w:tcBorders>
            <w:noWrap/>
            <w:vAlign w:val="bottom"/>
            <w:hideMark/>
          </w:tcPr>
          <w:p w14:paraId="158312E4"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30%</w:t>
            </w:r>
          </w:p>
        </w:tc>
        <w:tc>
          <w:tcPr>
            <w:tcW w:w="2294" w:type="dxa"/>
            <w:tcBorders>
              <w:top w:val="single" w:sz="4" w:space="0" w:color="auto"/>
              <w:left w:val="nil"/>
              <w:bottom w:val="single" w:sz="4" w:space="0" w:color="auto"/>
              <w:right w:val="nil"/>
            </w:tcBorders>
            <w:noWrap/>
            <w:vAlign w:val="bottom"/>
            <w:hideMark/>
          </w:tcPr>
          <w:p w14:paraId="60786322"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80%</w:t>
            </w:r>
          </w:p>
        </w:tc>
        <w:tc>
          <w:tcPr>
            <w:tcW w:w="2297" w:type="dxa"/>
            <w:tcBorders>
              <w:top w:val="single" w:sz="4" w:space="0" w:color="auto"/>
              <w:left w:val="nil"/>
              <w:bottom w:val="single" w:sz="4" w:space="0" w:color="auto"/>
              <w:right w:val="nil"/>
            </w:tcBorders>
            <w:noWrap/>
            <w:vAlign w:val="bottom"/>
            <w:hideMark/>
          </w:tcPr>
          <w:p w14:paraId="057FF2EF" w14:textId="77777777" w:rsidR="0070239A" w:rsidRPr="000F5C6F" w:rsidRDefault="0070239A"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78%</w:t>
            </w:r>
          </w:p>
        </w:tc>
      </w:tr>
    </w:tbl>
    <w:p w14:paraId="073565D0" w14:textId="3E7180B9" w:rsidR="0070239A" w:rsidRPr="000F5C6F" w:rsidRDefault="00F73CDF" w:rsidP="00F73CDF">
      <w:pPr>
        <w:spacing w:before="240" w:after="240" w:line="240" w:lineRule="auto"/>
        <w:ind w:left="720"/>
        <w:jc w:val="both"/>
        <w:rPr>
          <w:rFonts w:ascii="Times New Roman" w:hAnsi="Times New Roman" w:cs="Times New Roman"/>
        </w:rPr>
      </w:pPr>
      <w:r w:rsidRPr="000F5C6F">
        <w:rPr>
          <w:rFonts w:ascii="Times New Roman" w:hAnsi="Times New Roman" w:cs="Times New Roman"/>
        </w:rPr>
        <w:lastRenderedPageBreak/>
        <w:t>Primary PG program</w:t>
      </w:r>
      <w:r>
        <w:rPr>
          <w:rFonts w:ascii="Times New Roman" w:hAnsi="Times New Roman" w:cs="Times New Roman"/>
        </w:rPr>
        <w:t>me</w:t>
      </w:r>
      <w:r w:rsidRPr="000F5C6F">
        <w:rPr>
          <w:rFonts w:ascii="Times New Roman" w:hAnsi="Times New Roman" w:cs="Times New Roman"/>
        </w:rPr>
        <w:t>s fare worse than UG, with ACT, NT, QLD, and VIC including no ICT/DL education in any program</w:t>
      </w:r>
      <w:r>
        <w:rPr>
          <w:rFonts w:ascii="Times New Roman" w:hAnsi="Times New Roman" w:cs="Times New Roman"/>
        </w:rPr>
        <w:t>me</w:t>
      </w:r>
      <w:r w:rsidRPr="000F5C6F">
        <w:rPr>
          <w:rFonts w:ascii="Times New Roman" w:hAnsi="Times New Roman" w:cs="Times New Roman"/>
        </w:rPr>
        <w:t>. Tasmania notably does not include Design and Technologies, and most SA ITEs do not include Digital Technologies (Table 3).</w:t>
      </w:r>
    </w:p>
    <w:tbl>
      <w:tblPr>
        <w:tblW w:w="9420" w:type="dxa"/>
        <w:tblLook w:val="04A0" w:firstRow="1" w:lastRow="0" w:firstColumn="1" w:lastColumn="0" w:noHBand="0" w:noVBand="1"/>
      </w:tblPr>
      <w:tblGrid>
        <w:gridCol w:w="1331"/>
        <w:gridCol w:w="925"/>
        <w:gridCol w:w="1106"/>
        <w:gridCol w:w="1103"/>
        <w:gridCol w:w="1207"/>
        <w:gridCol w:w="1060"/>
        <w:gridCol w:w="1168"/>
        <w:gridCol w:w="1284"/>
        <w:gridCol w:w="236"/>
      </w:tblGrid>
      <w:tr w:rsidR="000C3DA1" w:rsidRPr="000F5C6F" w14:paraId="1E2B6F90" w14:textId="77777777" w:rsidTr="00F73CDF">
        <w:trPr>
          <w:trHeight w:val="564"/>
        </w:trPr>
        <w:tc>
          <w:tcPr>
            <w:tcW w:w="9184" w:type="dxa"/>
            <w:gridSpan w:val="8"/>
            <w:tcBorders>
              <w:top w:val="nil"/>
              <w:left w:val="nil"/>
              <w:bottom w:val="single" w:sz="4" w:space="0" w:color="auto"/>
              <w:right w:val="nil"/>
            </w:tcBorders>
            <w:noWrap/>
            <w:vAlign w:val="bottom"/>
            <w:hideMark/>
          </w:tcPr>
          <w:p w14:paraId="3DB11847" w14:textId="420FF971" w:rsidR="000C3DA1" w:rsidRPr="00536354" w:rsidRDefault="000C3DA1" w:rsidP="000F5C6F">
            <w:pPr>
              <w:spacing w:line="240" w:lineRule="auto"/>
              <w:jc w:val="both"/>
              <w:rPr>
                <w:rFonts w:ascii="Times New Roman" w:eastAsia="Times New Roman" w:hAnsi="Times New Roman" w:cs="Times New Roman"/>
                <w:b/>
                <w:bCs/>
                <w:color w:val="000000"/>
                <w:lang w:val="en-AU"/>
              </w:rPr>
            </w:pPr>
            <w:r w:rsidRPr="00536354">
              <w:rPr>
                <w:rFonts w:ascii="Times New Roman" w:eastAsia="Times New Roman" w:hAnsi="Times New Roman" w:cs="Times New Roman"/>
                <w:b/>
                <w:bCs/>
                <w:color w:val="000000"/>
                <w:lang w:val="en-AU"/>
              </w:rPr>
              <w:t>Table 4</w:t>
            </w:r>
            <w:r w:rsidR="00536354" w:rsidRPr="00536354">
              <w:rPr>
                <w:rFonts w:ascii="Times New Roman" w:eastAsia="Times New Roman" w:hAnsi="Times New Roman" w:cs="Times New Roman"/>
                <w:b/>
                <w:bCs/>
                <w:color w:val="000000"/>
                <w:lang w:val="en-AU"/>
              </w:rPr>
              <w:t>:</w:t>
            </w:r>
          </w:p>
          <w:p w14:paraId="078EE78D" w14:textId="3826CC1E"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hAnsi="Times New Roman" w:cs="Times New Roman"/>
                <w:bCs/>
                <w:i/>
                <w:iCs/>
              </w:rPr>
              <w:t xml:space="preserve">Undergraduate Secondary Courses Technologies Education </w:t>
            </w:r>
            <w:r w:rsidR="00D44D05" w:rsidRPr="000F5C6F">
              <w:rPr>
                <w:rFonts w:ascii="Times New Roman" w:hAnsi="Times New Roman" w:cs="Times New Roman"/>
                <w:bCs/>
                <w:i/>
                <w:iCs/>
              </w:rPr>
              <w:t>I</w:t>
            </w:r>
            <w:r w:rsidRPr="000F5C6F">
              <w:rPr>
                <w:rFonts w:ascii="Times New Roman" w:hAnsi="Times New Roman" w:cs="Times New Roman"/>
                <w:bCs/>
                <w:i/>
                <w:iCs/>
              </w:rPr>
              <w:t>nclusion</w:t>
            </w:r>
            <w:r w:rsidR="00106B24" w:rsidRPr="000F5C6F">
              <w:rPr>
                <w:rFonts w:ascii="Times New Roman" w:hAnsi="Times New Roman" w:cs="Times New Roman"/>
                <w:bCs/>
                <w:i/>
                <w:iCs/>
              </w:rPr>
              <w:t xml:space="preserve"> and</w:t>
            </w:r>
          </w:p>
          <w:p w14:paraId="5087E569" w14:textId="341EA954" w:rsidR="000C3DA1" w:rsidRPr="000F5C6F" w:rsidRDefault="000C3DA1" w:rsidP="00536354">
            <w:pPr>
              <w:spacing w:after="120" w:line="240" w:lineRule="auto"/>
              <w:jc w:val="both"/>
              <w:rPr>
                <w:rFonts w:ascii="Times New Roman" w:eastAsia="Times New Roman" w:hAnsi="Times New Roman" w:cs="Times New Roman"/>
                <w:i/>
                <w:iCs/>
                <w:color w:val="000000"/>
                <w:lang w:val="en-AU"/>
              </w:rPr>
            </w:pPr>
            <w:r w:rsidRPr="000F5C6F">
              <w:rPr>
                <w:rFonts w:ascii="Times New Roman" w:eastAsia="Times New Roman" w:hAnsi="Times New Roman" w:cs="Times New Roman"/>
                <w:i/>
                <w:iCs/>
                <w:color w:val="000000"/>
                <w:lang w:val="en-AU"/>
              </w:rPr>
              <w:t xml:space="preserve">Average </w:t>
            </w:r>
            <w:r w:rsidR="00502BAE" w:rsidRPr="000F5C6F">
              <w:rPr>
                <w:rFonts w:ascii="Times New Roman" w:eastAsia="Times New Roman" w:hAnsi="Times New Roman" w:cs="Times New Roman"/>
                <w:i/>
                <w:iCs/>
                <w:color w:val="000000"/>
                <w:lang w:val="en-AU"/>
              </w:rPr>
              <w:t>N</w:t>
            </w:r>
            <w:r w:rsidRPr="000F5C6F">
              <w:rPr>
                <w:rFonts w:ascii="Times New Roman" w:eastAsia="Times New Roman" w:hAnsi="Times New Roman" w:cs="Times New Roman"/>
                <w:i/>
                <w:iCs/>
                <w:color w:val="000000"/>
                <w:lang w:val="en-AU"/>
              </w:rPr>
              <w:t xml:space="preserve">umber of Teaching Area </w:t>
            </w:r>
            <w:r w:rsidR="00502BAE" w:rsidRPr="000F5C6F">
              <w:rPr>
                <w:rFonts w:ascii="Times New Roman" w:eastAsia="Times New Roman" w:hAnsi="Times New Roman" w:cs="Times New Roman"/>
                <w:i/>
                <w:iCs/>
                <w:color w:val="000000"/>
                <w:lang w:val="en-AU"/>
              </w:rPr>
              <w:t>C</w:t>
            </w:r>
            <w:r w:rsidRPr="000F5C6F">
              <w:rPr>
                <w:rFonts w:ascii="Times New Roman" w:eastAsia="Times New Roman" w:hAnsi="Times New Roman" w:cs="Times New Roman"/>
                <w:i/>
                <w:iCs/>
                <w:color w:val="000000"/>
                <w:lang w:val="en-AU"/>
              </w:rPr>
              <w:t>ourses</w:t>
            </w:r>
          </w:p>
        </w:tc>
        <w:tc>
          <w:tcPr>
            <w:tcW w:w="236" w:type="dxa"/>
            <w:tcBorders>
              <w:top w:val="nil"/>
              <w:left w:val="nil"/>
              <w:bottom w:val="nil"/>
              <w:right w:val="nil"/>
            </w:tcBorders>
            <w:noWrap/>
            <w:vAlign w:val="bottom"/>
            <w:hideMark/>
          </w:tcPr>
          <w:p w14:paraId="0878D260"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p>
        </w:tc>
      </w:tr>
      <w:tr w:rsidR="000C3DA1" w:rsidRPr="000F5C6F" w14:paraId="0B2AF522" w14:textId="77777777" w:rsidTr="00F73CDF">
        <w:trPr>
          <w:gridAfter w:val="1"/>
          <w:wAfter w:w="236" w:type="dxa"/>
          <w:trHeight w:val="306"/>
        </w:trPr>
        <w:tc>
          <w:tcPr>
            <w:tcW w:w="1331" w:type="dxa"/>
            <w:tcBorders>
              <w:top w:val="single" w:sz="4" w:space="0" w:color="auto"/>
              <w:left w:val="nil"/>
              <w:bottom w:val="single" w:sz="4" w:space="0" w:color="auto"/>
              <w:right w:val="nil"/>
            </w:tcBorders>
            <w:noWrap/>
            <w:vAlign w:val="bottom"/>
            <w:hideMark/>
          </w:tcPr>
          <w:p w14:paraId="0363B41E" w14:textId="26765F02" w:rsidR="000C3DA1" w:rsidRPr="000F5C6F" w:rsidRDefault="000C3DA1" w:rsidP="000F5C6F">
            <w:pPr>
              <w:spacing w:line="240" w:lineRule="auto"/>
              <w:jc w:val="both"/>
              <w:rPr>
                <w:rFonts w:ascii="Times New Roman" w:eastAsia="Times New Roman" w:hAnsi="Times New Roman" w:cs="Times New Roman"/>
                <w:color w:val="000000"/>
                <w:lang w:val="en-AU"/>
              </w:rPr>
            </w:pPr>
          </w:p>
        </w:tc>
        <w:tc>
          <w:tcPr>
            <w:tcW w:w="925" w:type="dxa"/>
            <w:tcBorders>
              <w:top w:val="single" w:sz="4" w:space="0" w:color="auto"/>
              <w:left w:val="nil"/>
              <w:bottom w:val="single" w:sz="4" w:space="0" w:color="auto"/>
              <w:right w:val="nil"/>
            </w:tcBorders>
            <w:noWrap/>
            <w:vAlign w:val="bottom"/>
            <w:hideMark/>
          </w:tcPr>
          <w:p w14:paraId="23019D58"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ICT/DL</w:t>
            </w:r>
          </w:p>
        </w:tc>
        <w:tc>
          <w:tcPr>
            <w:tcW w:w="1106" w:type="dxa"/>
            <w:tcBorders>
              <w:top w:val="single" w:sz="4" w:space="0" w:color="auto"/>
              <w:left w:val="nil"/>
              <w:bottom w:val="single" w:sz="4" w:space="0" w:color="auto"/>
              <w:right w:val="nil"/>
            </w:tcBorders>
            <w:noWrap/>
            <w:vAlign w:val="bottom"/>
            <w:hideMark/>
          </w:tcPr>
          <w:p w14:paraId="0FFE0686"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Digital</w:t>
            </w:r>
          </w:p>
        </w:tc>
        <w:tc>
          <w:tcPr>
            <w:tcW w:w="1103" w:type="dxa"/>
            <w:tcBorders>
              <w:top w:val="single" w:sz="4" w:space="0" w:color="auto"/>
              <w:left w:val="nil"/>
              <w:bottom w:val="single" w:sz="4" w:space="0" w:color="auto"/>
            </w:tcBorders>
            <w:noWrap/>
            <w:vAlign w:val="bottom"/>
            <w:hideMark/>
          </w:tcPr>
          <w:p w14:paraId="1F4CF61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Design</w:t>
            </w:r>
          </w:p>
        </w:tc>
        <w:tc>
          <w:tcPr>
            <w:tcW w:w="1207" w:type="dxa"/>
            <w:tcBorders>
              <w:top w:val="single" w:sz="4" w:space="0" w:color="auto"/>
              <w:bottom w:val="single" w:sz="4" w:space="0" w:color="auto"/>
            </w:tcBorders>
            <w:noWrap/>
            <w:vAlign w:val="bottom"/>
            <w:hideMark/>
          </w:tcPr>
          <w:p w14:paraId="66894E5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Computing</w:t>
            </w:r>
          </w:p>
        </w:tc>
        <w:tc>
          <w:tcPr>
            <w:tcW w:w="1060" w:type="dxa"/>
            <w:tcBorders>
              <w:top w:val="single" w:sz="4" w:space="0" w:color="auto"/>
              <w:bottom w:val="single" w:sz="4" w:space="0" w:color="auto"/>
            </w:tcBorders>
            <w:noWrap/>
            <w:vAlign w:val="bottom"/>
            <w:hideMark/>
          </w:tcPr>
          <w:p w14:paraId="3C8EF064"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Industrial</w:t>
            </w:r>
          </w:p>
        </w:tc>
        <w:tc>
          <w:tcPr>
            <w:tcW w:w="1168" w:type="dxa"/>
            <w:tcBorders>
              <w:top w:val="single" w:sz="4" w:space="0" w:color="auto"/>
              <w:bottom w:val="single" w:sz="4" w:space="0" w:color="auto"/>
            </w:tcBorders>
            <w:noWrap/>
            <w:vAlign w:val="bottom"/>
            <w:hideMark/>
          </w:tcPr>
          <w:p w14:paraId="52A8FA2E" w14:textId="1B51DCEB"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Home Ec</w:t>
            </w:r>
          </w:p>
        </w:tc>
        <w:tc>
          <w:tcPr>
            <w:tcW w:w="1284" w:type="dxa"/>
            <w:tcBorders>
              <w:top w:val="single" w:sz="4" w:space="0" w:color="auto"/>
              <w:bottom w:val="single" w:sz="4" w:space="0" w:color="auto"/>
            </w:tcBorders>
            <w:noWrap/>
            <w:vAlign w:val="bottom"/>
            <w:hideMark/>
          </w:tcPr>
          <w:p w14:paraId="379285FC"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Agriculture</w:t>
            </w:r>
          </w:p>
        </w:tc>
      </w:tr>
      <w:tr w:rsidR="000C3DA1" w:rsidRPr="000F5C6F" w14:paraId="4E6665E1" w14:textId="77777777" w:rsidTr="00F73CDF">
        <w:trPr>
          <w:gridAfter w:val="1"/>
          <w:wAfter w:w="236" w:type="dxa"/>
          <w:trHeight w:val="306"/>
        </w:trPr>
        <w:tc>
          <w:tcPr>
            <w:tcW w:w="1331" w:type="dxa"/>
            <w:tcBorders>
              <w:top w:val="single" w:sz="4" w:space="0" w:color="auto"/>
              <w:left w:val="nil"/>
              <w:bottom w:val="nil"/>
              <w:right w:val="nil"/>
            </w:tcBorders>
            <w:noWrap/>
            <w:vAlign w:val="bottom"/>
            <w:hideMark/>
          </w:tcPr>
          <w:p w14:paraId="0A0AD200"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ACT</w:t>
            </w:r>
          </w:p>
        </w:tc>
        <w:tc>
          <w:tcPr>
            <w:tcW w:w="925" w:type="dxa"/>
            <w:tcBorders>
              <w:top w:val="single" w:sz="4" w:space="0" w:color="auto"/>
              <w:left w:val="nil"/>
              <w:bottom w:val="nil"/>
              <w:right w:val="nil"/>
            </w:tcBorders>
            <w:shd w:val="clear" w:color="000000" w:fill="DAF2D0"/>
            <w:noWrap/>
            <w:vAlign w:val="bottom"/>
            <w:hideMark/>
          </w:tcPr>
          <w:p w14:paraId="5C2709C3"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6" w:type="dxa"/>
            <w:tcBorders>
              <w:top w:val="single" w:sz="4" w:space="0" w:color="auto"/>
              <w:left w:val="nil"/>
              <w:bottom w:val="nil"/>
              <w:right w:val="nil"/>
            </w:tcBorders>
            <w:shd w:val="clear" w:color="000000" w:fill="DAF2D0"/>
            <w:noWrap/>
            <w:vAlign w:val="bottom"/>
            <w:hideMark/>
          </w:tcPr>
          <w:p w14:paraId="60AE6DC8"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3" w:type="dxa"/>
            <w:tcBorders>
              <w:top w:val="single" w:sz="4" w:space="0" w:color="auto"/>
              <w:left w:val="nil"/>
              <w:bottom w:val="nil"/>
            </w:tcBorders>
            <w:shd w:val="clear" w:color="000000" w:fill="DAF2D0"/>
            <w:noWrap/>
            <w:vAlign w:val="bottom"/>
            <w:hideMark/>
          </w:tcPr>
          <w:p w14:paraId="1EB679BC"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207" w:type="dxa"/>
            <w:tcBorders>
              <w:top w:val="single" w:sz="4" w:space="0" w:color="auto"/>
            </w:tcBorders>
            <w:noWrap/>
            <w:vAlign w:val="bottom"/>
            <w:hideMark/>
          </w:tcPr>
          <w:p w14:paraId="5968E03C"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060" w:type="dxa"/>
            <w:tcBorders>
              <w:top w:val="single" w:sz="4" w:space="0" w:color="auto"/>
            </w:tcBorders>
            <w:noWrap/>
            <w:vAlign w:val="bottom"/>
            <w:hideMark/>
          </w:tcPr>
          <w:p w14:paraId="276F4DD1"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168" w:type="dxa"/>
            <w:tcBorders>
              <w:top w:val="single" w:sz="4" w:space="0" w:color="auto"/>
            </w:tcBorders>
            <w:noWrap/>
            <w:vAlign w:val="bottom"/>
            <w:hideMark/>
          </w:tcPr>
          <w:p w14:paraId="7409139A"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1284" w:type="dxa"/>
            <w:tcBorders>
              <w:top w:val="single" w:sz="4" w:space="0" w:color="auto"/>
            </w:tcBorders>
            <w:noWrap/>
            <w:vAlign w:val="bottom"/>
            <w:hideMark/>
          </w:tcPr>
          <w:p w14:paraId="1B42027E"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0EB06CC1" w14:textId="77777777" w:rsidTr="00F73CDF">
        <w:trPr>
          <w:gridAfter w:val="1"/>
          <w:wAfter w:w="236" w:type="dxa"/>
          <w:trHeight w:val="306"/>
        </w:trPr>
        <w:tc>
          <w:tcPr>
            <w:tcW w:w="1331" w:type="dxa"/>
            <w:tcBorders>
              <w:top w:val="nil"/>
              <w:left w:val="nil"/>
              <w:bottom w:val="nil"/>
              <w:right w:val="nil"/>
            </w:tcBorders>
            <w:noWrap/>
            <w:vAlign w:val="bottom"/>
            <w:hideMark/>
          </w:tcPr>
          <w:p w14:paraId="495F34DD"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NSW</w:t>
            </w:r>
          </w:p>
        </w:tc>
        <w:tc>
          <w:tcPr>
            <w:tcW w:w="925" w:type="dxa"/>
            <w:tcBorders>
              <w:top w:val="nil"/>
              <w:left w:val="nil"/>
              <w:bottom w:val="nil"/>
              <w:right w:val="nil"/>
            </w:tcBorders>
            <w:shd w:val="clear" w:color="000000" w:fill="FBE2D5"/>
            <w:noWrap/>
            <w:vAlign w:val="bottom"/>
            <w:hideMark/>
          </w:tcPr>
          <w:p w14:paraId="647BF11A"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67%</w:t>
            </w:r>
          </w:p>
        </w:tc>
        <w:tc>
          <w:tcPr>
            <w:tcW w:w="1106" w:type="dxa"/>
            <w:tcBorders>
              <w:top w:val="nil"/>
              <w:left w:val="nil"/>
              <w:bottom w:val="nil"/>
              <w:right w:val="nil"/>
            </w:tcBorders>
            <w:shd w:val="clear" w:color="000000" w:fill="FBE2D5"/>
            <w:noWrap/>
            <w:vAlign w:val="bottom"/>
            <w:hideMark/>
          </w:tcPr>
          <w:p w14:paraId="01DD6517"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1103" w:type="dxa"/>
            <w:tcBorders>
              <w:top w:val="nil"/>
              <w:left w:val="nil"/>
              <w:bottom w:val="nil"/>
            </w:tcBorders>
            <w:shd w:val="clear" w:color="000000" w:fill="FBE2D5"/>
            <w:noWrap/>
            <w:vAlign w:val="bottom"/>
            <w:hideMark/>
          </w:tcPr>
          <w:p w14:paraId="257BD363"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42%</w:t>
            </w:r>
          </w:p>
        </w:tc>
        <w:tc>
          <w:tcPr>
            <w:tcW w:w="1207" w:type="dxa"/>
            <w:noWrap/>
            <w:vAlign w:val="bottom"/>
            <w:hideMark/>
          </w:tcPr>
          <w:p w14:paraId="1A694101"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1.71</w:t>
            </w:r>
          </w:p>
        </w:tc>
        <w:tc>
          <w:tcPr>
            <w:tcW w:w="1060" w:type="dxa"/>
            <w:noWrap/>
            <w:vAlign w:val="bottom"/>
            <w:hideMark/>
          </w:tcPr>
          <w:p w14:paraId="52EF8B2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1.08</w:t>
            </w:r>
          </w:p>
        </w:tc>
        <w:tc>
          <w:tcPr>
            <w:tcW w:w="1168" w:type="dxa"/>
            <w:noWrap/>
            <w:vAlign w:val="bottom"/>
            <w:hideMark/>
          </w:tcPr>
          <w:p w14:paraId="4AB9E4BB"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0.58</w:t>
            </w:r>
          </w:p>
        </w:tc>
        <w:tc>
          <w:tcPr>
            <w:tcW w:w="1284" w:type="dxa"/>
            <w:noWrap/>
            <w:vAlign w:val="bottom"/>
            <w:hideMark/>
          </w:tcPr>
          <w:p w14:paraId="5888AF0D"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2.75</w:t>
            </w:r>
          </w:p>
        </w:tc>
      </w:tr>
      <w:tr w:rsidR="000C3DA1" w:rsidRPr="000F5C6F" w14:paraId="042C37D1" w14:textId="77777777" w:rsidTr="00F73CDF">
        <w:trPr>
          <w:gridAfter w:val="1"/>
          <w:wAfter w:w="236" w:type="dxa"/>
          <w:trHeight w:val="306"/>
        </w:trPr>
        <w:tc>
          <w:tcPr>
            <w:tcW w:w="1331" w:type="dxa"/>
            <w:tcBorders>
              <w:top w:val="nil"/>
              <w:left w:val="nil"/>
              <w:bottom w:val="nil"/>
              <w:right w:val="nil"/>
            </w:tcBorders>
            <w:noWrap/>
            <w:vAlign w:val="bottom"/>
            <w:hideMark/>
          </w:tcPr>
          <w:p w14:paraId="2148D23A"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NT</w:t>
            </w:r>
          </w:p>
        </w:tc>
        <w:tc>
          <w:tcPr>
            <w:tcW w:w="925" w:type="dxa"/>
            <w:tcBorders>
              <w:top w:val="nil"/>
              <w:left w:val="nil"/>
              <w:bottom w:val="nil"/>
              <w:right w:val="nil"/>
            </w:tcBorders>
            <w:shd w:val="clear" w:color="000000" w:fill="DAF2D0"/>
            <w:noWrap/>
            <w:vAlign w:val="bottom"/>
            <w:hideMark/>
          </w:tcPr>
          <w:p w14:paraId="01B5B1B2"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6" w:type="dxa"/>
            <w:tcBorders>
              <w:top w:val="nil"/>
              <w:left w:val="nil"/>
              <w:bottom w:val="nil"/>
              <w:right w:val="nil"/>
            </w:tcBorders>
            <w:shd w:val="clear" w:color="000000" w:fill="DAF2D0"/>
            <w:noWrap/>
            <w:vAlign w:val="bottom"/>
            <w:hideMark/>
          </w:tcPr>
          <w:p w14:paraId="326EBD1A"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3" w:type="dxa"/>
            <w:tcBorders>
              <w:top w:val="nil"/>
              <w:left w:val="nil"/>
              <w:bottom w:val="nil"/>
            </w:tcBorders>
            <w:shd w:val="clear" w:color="000000" w:fill="FC647C"/>
            <w:noWrap/>
            <w:vAlign w:val="bottom"/>
            <w:hideMark/>
          </w:tcPr>
          <w:p w14:paraId="5D595434"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1207" w:type="dxa"/>
            <w:noWrap/>
            <w:vAlign w:val="bottom"/>
            <w:hideMark/>
          </w:tcPr>
          <w:p w14:paraId="470043DB"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060" w:type="dxa"/>
            <w:noWrap/>
            <w:vAlign w:val="bottom"/>
            <w:hideMark/>
          </w:tcPr>
          <w:p w14:paraId="7037F0C9"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168" w:type="dxa"/>
            <w:noWrap/>
            <w:vAlign w:val="bottom"/>
            <w:hideMark/>
          </w:tcPr>
          <w:p w14:paraId="2D1D531F"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1284" w:type="dxa"/>
            <w:noWrap/>
            <w:vAlign w:val="bottom"/>
            <w:hideMark/>
          </w:tcPr>
          <w:p w14:paraId="590A88BA"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74E211FF" w14:textId="77777777" w:rsidTr="00F73CDF">
        <w:trPr>
          <w:gridAfter w:val="1"/>
          <w:wAfter w:w="236" w:type="dxa"/>
          <w:trHeight w:val="306"/>
        </w:trPr>
        <w:tc>
          <w:tcPr>
            <w:tcW w:w="1331" w:type="dxa"/>
            <w:tcBorders>
              <w:top w:val="nil"/>
              <w:left w:val="nil"/>
              <w:bottom w:val="nil"/>
              <w:right w:val="nil"/>
            </w:tcBorders>
            <w:noWrap/>
            <w:vAlign w:val="bottom"/>
            <w:hideMark/>
          </w:tcPr>
          <w:p w14:paraId="2F660426"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QLD</w:t>
            </w:r>
          </w:p>
        </w:tc>
        <w:tc>
          <w:tcPr>
            <w:tcW w:w="925" w:type="dxa"/>
            <w:tcBorders>
              <w:top w:val="nil"/>
              <w:left w:val="nil"/>
              <w:bottom w:val="nil"/>
              <w:right w:val="nil"/>
            </w:tcBorders>
            <w:shd w:val="clear" w:color="000000" w:fill="FBE2D5"/>
            <w:noWrap/>
            <w:vAlign w:val="bottom"/>
            <w:hideMark/>
          </w:tcPr>
          <w:p w14:paraId="77B9FA9F"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25%</w:t>
            </w:r>
          </w:p>
        </w:tc>
        <w:tc>
          <w:tcPr>
            <w:tcW w:w="1106" w:type="dxa"/>
            <w:tcBorders>
              <w:top w:val="nil"/>
              <w:left w:val="nil"/>
              <w:bottom w:val="nil"/>
              <w:right w:val="nil"/>
            </w:tcBorders>
            <w:shd w:val="clear" w:color="000000" w:fill="FBE2D5"/>
            <w:noWrap/>
            <w:vAlign w:val="bottom"/>
            <w:hideMark/>
          </w:tcPr>
          <w:p w14:paraId="34D09747"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38%</w:t>
            </w:r>
          </w:p>
        </w:tc>
        <w:tc>
          <w:tcPr>
            <w:tcW w:w="1103" w:type="dxa"/>
            <w:tcBorders>
              <w:top w:val="nil"/>
              <w:left w:val="nil"/>
              <w:bottom w:val="nil"/>
            </w:tcBorders>
            <w:shd w:val="clear" w:color="000000" w:fill="FBE2D5"/>
            <w:noWrap/>
            <w:vAlign w:val="bottom"/>
            <w:hideMark/>
          </w:tcPr>
          <w:p w14:paraId="41485FD3"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13%</w:t>
            </w:r>
          </w:p>
        </w:tc>
        <w:tc>
          <w:tcPr>
            <w:tcW w:w="1207" w:type="dxa"/>
            <w:noWrap/>
            <w:vAlign w:val="bottom"/>
            <w:hideMark/>
          </w:tcPr>
          <w:p w14:paraId="1091041D"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0.63</w:t>
            </w:r>
          </w:p>
        </w:tc>
        <w:tc>
          <w:tcPr>
            <w:tcW w:w="1060" w:type="dxa"/>
            <w:noWrap/>
            <w:vAlign w:val="bottom"/>
            <w:hideMark/>
          </w:tcPr>
          <w:p w14:paraId="26577393"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1168" w:type="dxa"/>
            <w:noWrap/>
            <w:vAlign w:val="bottom"/>
            <w:hideMark/>
          </w:tcPr>
          <w:p w14:paraId="03F99A3C"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1284" w:type="dxa"/>
            <w:noWrap/>
            <w:vAlign w:val="bottom"/>
            <w:hideMark/>
          </w:tcPr>
          <w:p w14:paraId="199E9C62"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r>
      <w:tr w:rsidR="000C3DA1" w:rsidRPr="000F5C6F" w14:paraId="1221CECD" w14:textId="77777777" w:rsidTr="00F73CDF">
        <w:trPr>
          <w:gridAfter w:val="1"/>
          <w:wAfter w:w="236" w:type="dxa"/>
          <w:trHeight w:val="306"/>
        </w:trPr>
        <w:tc>
          <w:tcPr>
            <w:tcW w:w="1331" w:type="dxa"/>
            <w:tcBorders>
              <w:top w:val="nil"/>
              <w:left w:val="nil"/>
              <w:bottom w:val="nil"/>
              <w:right w:val="nil"/>
            </w:tcBorders>
            <w:noWrap/>
            <w:vAlign w:val="bottom"/>
            <w:hideMark/>
          </w:tcPr>
          <w:p w14:paraId="1FD95EE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SA</w:t>
            </w:r>
          </w:p>
        </w:tc>
        <w:tc>
          <w:tcPr>
            <w:tcW w:w="925" w:type="dxa"/>
            <w:tcBorders>
              <w:top w:val="nil"/>
              <w:left w:val="nil"/>
              <w:bottom w:val="nil"/>
              <w:right w:val="nil"/>
            </w:tcBorders>
            <w:shd w:val="clear" w:color="000000" w:fill="DAF2D0"/>
            <w:noWrap/>
            <w:vAlign w:val="bottom"/>
            <w:hideMark/>
          </w:tcPr>
          <w:p w14:paraId="711A4963"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6" w:type="dxa"/>
            <w:tcBorders>
              <w:top w:val="nil"/>
              <w:left w:val="nil"/>
              <w:bottom w:val="nil"/>
              <w:right w:val="nil"/>
            </w:tcBorders>
            <w:shd w:val="clear" w:color="000000" w:fill="FBE2D5"/>
            <w:noWrap/>
            <w:vAlign w:val="bottom"/>
            <w:hideMark/>
          </w:tcPr>
          <w:p w14:paraId="187E3EC6"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1103" w:type="dxa"/>
            <w:tcBorders>
              <w:top w:val="nil"/>
              <w:left w:val="nil"/>
              <w:bottom w:val="nil"/>
            </w:tcBorders>
            <w:shd w:val="clear" w:color="000000" w:fill="FBE2D5"/>
            <w:noWrap/>
            <w:vAlign w:val="bottom"/>
            <w:hideMark/>
          </w:tcPr>
          <w:p w14:paraId="3E3AE34F"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1207" w:type="dxa"/>
            <w:noWrap/>
            <w:vAlign w:val="bottom"/>
            <w:hideMark/>
          </w:tcPr>
          <w:p w14:paraId="742F1C12"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3.06</w:t>
            </w:r>
          </w:p>
        </w:tc>
        <w:tc>
          <w:tcPr>
            <w:tcW w:w="1060" w:type="dxa"/>
            <w:noWrap/>
            <w:vAlign w:val="bottom"/>
            <w:hideMark/>
          </w:tcPr>
          <w:p w14:paraId="4E54DE97"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0.56</w:t>
            </w:r>
          </w:p>
        </w:tc>
        <w:tc>
          <w:tcPr>
            <w:tcW w:w="1168" w:type="dxa"/>
            <w:noWrap/>
            <w:vAlign w:val="bottom"/>
            <w:hideMark/>
          </w:tcPr>
          <w:p w14:paraId="28EC3108"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284" w:type="dxa"/>
            <w:noWrap/>
            <w:vAlign w:val="bottom"/>
            <w:hideMark/>
          </w:tcPr>
          <w:p w14:paraId="0821C226"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6A6F6250" w14:textId="77777777" w:rsidTr="00F73CDF">
        <w:trPr>
          <w:gridAfter w:val="1"/>
          <w:wAfter w:w="236" w:type="dxa"/>
          <w:trHeight w:val="306"/>
        </w:trPr>
        <w:tc>
          <w:tcPr>
            <w:tcW w:w="1331" w:type="dxa"/>
            <w:tcBorders>
              <w:top w:val="nil"/>
              <w:left w:val="nil"/>
              <w:bottom w:val="nil"/>
              <w:right w:val="nil"/>
            </w:tcBorders>
            <w:noWrap/>
            <w:vAlign w:val="bottom"/>
            <w:hideMark/>
          </w:tcPr>
          <w:p w14:paraId="36073B48"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TAS</w:t>
            </w:r>
          </w:p>
        </w:tc>
        <w:tc>
          <w:tcPr>
            <w:tcW w:w="925" w:type="dxa"/>
            <w:tcBorders>
              <w:top w:val="nil"/>
              <w:left w:val="nil"/>
              <w:bottom w:val="nil"/>
              <w:right w:val="nil"/>
            </w:tcBorders>
            <w:shd w:val="clear" w:color="000000" w:fill="FC647C"/>
            <w:noWrap/>
            <w:vAlign w:val="bottom"/>
            <w:hideMark/>
          </w:tcPr>
          <w:p w14:paraId="4E7A047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1106" w:type="dxa"/>
            <w:tcBorders>
              <w:top w:val="nil"/>
              <w:left w:val="nil"/>
              <w:bottom w:val="nil"/>
              <w:right w:val="nil"/>
            </w:tcBorders>
            <w:shd w:val="clear" w:color="000000" w:fill="FC647C"/>
            <w:noWrap/>
            <w:vAlign w:val="bottom"/>
            <w:hideMark/>
          </w:tcPr>
          <w:p w14:paraId="3A09EB66"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1103" w:type="dxa"/>
            <w:tcBorders>
              <w:top w:val="nil"/>
              <w:left w:val="nil"/>
              <w:bottom w:val="nil"/>
            </w:tcBorders>
            <w:shd w:val="clear" w:color="000000" w:fill="FC647C"/>
            <w:noWrap/>
            <w:vAlign w:val="bottom"/>
            <w:hideMark/>
          </w:tcPr>
          <w:p w14:paraId="29987B4D"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1207" w:type="dxa"/>
            <w:noWrap/>
            <w:vAlign w:val="bottom"/>
            <w:hideMark/>
          </w:tcPr>
          <w:p w14:paraId="59BF0B3E"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060" w:type="dxa"/>
            <w:noWrap/>
            <w:vAlign w:val="bottom"/>
            <w:hideMark/>
          </w:tcPr>
          <w:p w14:paraId="111F344D"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168" w:type="dxa"/>
            <w:noWrap/>
            <w:vAlign w:val="bottom"/>
            <w:hideMark/>
          </w:tcPr>
          <w:p w14:paraId="75261B3A"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284" w:type="dxa"/>
            <w:noWrap/>
            <w:vAlign w:val="bottom"/>
            <w:hideMark/>
          </w:tcPr>
          <w:p w14:paraId="51EF752F"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7C5DB11C" w14:textId="77777777" w:rsidTr="00F73CDF">
        <w:trPr>
          <w:gridAfter w:val="1"/>
          <w:wAfter w:w="236" w:type="dxa"/>
          <w:trHeight w:val="306"/>
        </w:trPr>
        <w:tc>
          <w:tcPr>
            <w:tcW w:w="1331" w:type="dxa"/>
            <w:tcBorders>
              <w:top w:val="nil"/>
              <w:left w:val="nil"/>
              <w:bottom w:val="nil"/>
              <w:right w:val="nil"/>
            </w:tcBorders>
            <w:noWrap/>
            <w:vAlign w:val="bottom"/>
            <w:hideMark/>
          </w:tcPr>
          <w:p w14:paraId="4E1B99E3"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VIC</w:t>
            </w:r>
          </w:p>
        </w:tc>
        <w:tc>
          <w:tcPr>
            <w:tcW w:w="925" w:type="dxa"/>
            <w:tcBorders>
              <w:top w:val="nil"/>
              <w:left w:val="nil"/>
              <w:bottom w:val="nil"/>
              <w:right w:val="nil"/>
            </w:tcBorders>
            <w:shd w:val="clear" w:color="000000" w:fill="FBE2D5"/>
            <w:noWrap/>
            <w:vAlign w:val="bottom"/>
            <w:hideMark/>
          </w:tcPr>
          <w:p w14:paraId="13EB78DA"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80%</w:t>
            </w:r>
          </w:p>
        </w:tc>
        <w:tc>
          <w:tcPr>
            <w:tcW w:w="1106" w:type="dxa"/>
            <w:tcBorders>
              <w:top w:val="nil"/>
              <w:left w:val="nil"/>
              <w:bottom w:val="nil"/>
              <w:right w:val="nil"/>
            </w:tcBorders>
            <w:shd w:val="clear" w:color="000000" w:fill="FBE2D5"/>
            <w:noWrap/>
            <w:vAlign w:val="bottom"/>
            <w:hideMark/>
          </w:tcPr>
          <w:p w14:paraId="4B87FF70"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80%</w:t>
            </w:r>
          </w:p>
        </w:tc>
        <w:tc>
          <w:tcPr>
            <w:tcW w:w="1103" w:type="dxa"/>
            <w:tcBorders>
              <w:top w:val="nil"/>
              <w:left w:val="nil"/>
              <w:bottom w:val="nil"/>
            </w:tcBorders>
            <w:shd w:val="clear" w:color="000000" w:fill="FBE2D5"/>
            <w:noWrap/>
            <w:vAlign w:val="bottom"/>
            <w:hideMark/>
          </w:tcPr>
          <w:p w14:paraId="3B5F4707"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60%</w:t>
            </w:r>
          </w:p>
        </w:tc>
        <w:tc>
          <w:tcPr>
            <w:tcW w:w="1207" w:type="dxa"/>
            <w:noWrap/>
            <w:vAlign w:val="bottom"/>
            <w:hideMark/>
          </w:tcPr>
          <w:p w14:paraId="51349B21"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1060" w:type="dxa"/>
            <w:noWrap/>
            <w:vAlign w:val="bottom"/>
            <w:hideMark/>
          </w:tcPr>
          <w:p w14:paraId="6A3014AE"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168" w:type="dxa"/>
            <w:noWrap/>
            <w:vAlign w:val="bottom"/>
            <w:hideMark/>
          </w:tcPr>
          <w:p w14:paraId="5196534B"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284" w:type="dxa"/>
            <w:noWrap/>
            <w:vAlign w:val="bottom"/>
            <w:hideMark/>
          </w:tcPr>
          <w:p w14:paraId="0F06364C"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6BD7A070" w14:textId="77777777" w:rsidTr="00F73CDF">
        <w:trPr>
          <w:gridAfter w:val="1"/>
          <w:wAfter w:w="236" w:type="dxa"/>
          <w:trHeight w:val="306"/>
        </w:trPr>
        <w:tc>
          <w:tcPr>
            <w:tcW w:w="1331" w:type="dxa"/>
            <w:tcBorders>
              <w:top w:val="nil"/>
              <w:left w:val="nil"/>
              <w:bottom w:val="nil"/>
              <w:right w:val="nil"/>
            </w:tcBorders>
            <w:noWrap/>
            <w:vAlign w:val="bottom"/>
            <w:hideMark/>
          </w:tcPr>
          <w:p w14:paraId="3160858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WA</w:t>
            </w:r>
          </w:p>
        </w:tc>
        <w:tc>
          <w:tcPr>
            <w:tcW w:w="925" w:type="dxa"/>
            <w:tcBorders>
              <w:top w:val="nil"/>
              <w:left w:val="nil"/>
              <w:bottom w:val="nil"/>
              <w:right w:val="nil"/>
            </w:tcBorders>
            <w:shd w:val="clear" w:color="000000" w:fill="FBE2D5"/>
            <w:noWrap/>
            <w:vAlign w:val="bottom"/>
            <w:hideMark/>
          </w:tcPr>
          <w:p w14:paraId="5EEF0D04"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1106" w:type="dxa"/>
            <w:tcBorders>
              <w:top w:val="nil"/>
              <w:left w:val="nil"/>
              <w:bottom w:val="nil"/>
              <w:right w:val="nil"/>
            </w:tcBorders>
            <w:shd w:val="clear" w:color="000000" w:fill="FBE2D5"/>
            <w:noWrap/>
            <w:vAlign w:val="bottom"/>
            <w:hideMark/>
          </w:tcPr>
          <w:p w14:paraId="13D33A28"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1103" w:type="dxa"/>
            <w:tcBorders>
              <w:top w:val="nil"/>
              <w:left w:val="nil"/>
              <w:bottom w:val="nil"/>
            </w:tcBorders>
            <w:shd w:val="clear" w:color="000000" w:fill="FBE2D5"/>
            <w:noWrap/>
            <w:vAlign w:val="bottom"/>
            <w:hideMark/>
          </w:tcPr>
          <w:p w14:paraId="296AD2FF"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1207" w:type="dxa"/>
            <w:noWrap/>
            <w:vAlign w:val="bottom"/>
            <w:hideMark/>
          </w:tcPr>
          <w:p w14:paraId="022D388A"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060" w:type="dxa"/>
            <w:noWrap/>
            <w:vAlign w:val="bottom"/>
            <w:hideMark/>
          </w:tcPr>
          <w:p w14:paraId="1BDEA694"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168" w:type="dxa"/>
            <w:noWrap/>
            <w:vAlign w:val="bottom"/>
            <w:hideMark/>
          </w:tcPr>
          <w:p w14:paraId="47A94832"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284" w:type="dxa"/>
            <w:noWrap/>
            <w:vAlign w:val="bottom"/>
            <w:hideMark/>
          </w:tcPr>
          <w:p w14:paraId="44437B22"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2118457D" w14:textId="77777777" w:rsidTr="00F73CDF">
        <w:trPr>
          <w:gridAfter w:val="1"/>
          <w:wAfter w:w="236" w:type="dxa"/>
          <w:trHeight w:val="306"/>
        </w:trPr>
        <w:tc>
          <w:tcPr>
            <w:tcW w:w="1331" w:type="dxa"/>
            <w:tcBorders>
              <w:top w:val="nil"/>
              <w:left w:val="nil"/>
              <w:bottom w:val="single" w:sz="4" w:space="0" w:color="auto"/>
              <w:right w:val="nil"/>
            </w:tcBorders>
            <w:noWrap/>
            <w:vAlign w:val="bottom"/>
            <w:hideMark/>
          </w:tcPr>
          <w:p w14:paraId="4A32E7C4"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NAT</w:t>
            </w:r>
          </w:p>
        </w:tc>
        <w:tc>
          <w:tcPr>
            <w:tcW w:w="925" w:type="dxa"/>
            <w:tcBorders>
              <w:top w:val="nil"/>
              <w:left w:val="nil"/>
              <w:bottom w:val="single" w:sz="4" w:space="0" w:color="auto"/>
              <w:right w:val="nil"/>
            </w:tcBorders>
            <w:shd w:val="clear" w:color="000000" w:fill="DAF2D0"/>
            <w:noWrap/>
            <w:vAlign w:val="bottom"/>
            <w:hideMark/>
          </w:tcPr>
          <w:p w14:paraId="1DF22671"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6" w:type="dxa"/>
            <w:tcBorders>
              <w:top w:val="nil"/>
              <w:left w:val="nil"/>
              <w:bottom w:val="single" w:sz="4" w:space="0" w:color="auto"/>
              <w:right w:val="nil"/>
            </w:tcBorders>
            <w:shd w:val="clear" w:color="000000" w:fill="DAF2D0"/>
            <w:noWrap/>
            <w:vAlign w:val="bottom"/>
            <w:hideMark/>
          </w:tcPr>
          <w:p w14:paraId="6DB98787"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103" w:type="dxa"/>
            <w:tcBorders>
              <w:top w:val="nil"/>
              <w:left w:val="nil"/>
              <w:bottom w:val="single" w:sz="4" w:space="0" w:color="auto"/>
            </w:tcBorders>
            <w:shd w:val="clear" w:color="000000" w:fill="DAF2D0"/>
            <w:noWrap/>
            <w:vAlign w:val="bottom"/>
            <w:hideMark/>
          </w:tcPr>
          <w:p w14:paraId="01913504"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207" w:type="dxa"/>
            <w:tcBorders>
              <w:bottom w:val="single" w:sz="4" w:space="0" w:color="auto"/>
            </w:tcBorders>
            <w:noWrap/>
            <w:vAlign w:val="bottom"/>
            <w:hideMark/>
          </w:tcPr>
          <w:p w14:paraId="3AAB8E61"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1060" w:type="dxa"/>
            <w:tcBorders>
              <w:bottom w:val="single" w:sz="4" w:space="0" w:color="auto"/>
            </w:tcBorders>
            <w:noWrap/>
            <w:vAlign w:val="bottom"/>
            <w:hideMark/>
          </w:tcPr>
          <w:p w14:paraId="6281F45B"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168" w:type="dxa"/>
            <w:tcBorders>
              <w:bottom w:val="single" w:sz="4" w:space="0" w:color="auto"/>
            </w:tcBorders>
            <w:noWrap/>
            <w:vAlign w:val="bottom"/>
            <w:hideMark/>
          </w:tcPr>
          <w:p w14:paraId="2E88398D"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284" w:type="dxa"/>
            <w:tcBorders>
              <w:bottom w:val="single" w:sz="4" w:space="0" w:color="auto"/>
            </w:tcBorders>
            <w:noWrap/>
            <w:vAlign w:val="bottom"/>
            <w:hideMark/>
          </w:tcPr>
          <w:p w14:paraId="3B149EAE" w14:textId="77777777" w:rsidR="000C3DA1" w:rsidRPr="000F5C6F" w:rsidRDefault="000C3DA1"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0C3DA1" w:rsidRPr="000F5C6F" w14:paraId="2E3607FA" w14:textId="77777777" w:rsidTr="00F73CDF">
        <w:trPr>
          <w:gridAfter w:val="1"/>
          <w:wAfter w:w="236" w:type="dxa"/>
          <w:trHeight w:val="306"/>
        </w:trPr>
        <w:tc>
          <w:tcPr>
            <w:tcW w:w="1331" w:type="dxa"/>
            <w:tcBorders>
              <w:top w:val="single" w:sz="4" w:space="0" w:color="auto"/>
              <w:left w:val="nil"/>
              <w:bottom w:val="single" w:sz="4" w:space="0" w:color="auto"/>
              <w:right w:val="nil"/>
            </w:tcBorders>
            <w:noWrap/>
            <w:vAlign w:val="bottom"/>
            <w:hideMark/>
          </w:tcPr>
          <w:p w14:paraId="3B2EA2CE"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TOTAL</w:t>
            </w:r>
          </w:p>
        </w:tc>
        <w:tc>
          <w:tcPr>
            <w:tcW w:w="925" w:type="dxa"/>
            <w:tcBorders>
              <w:top w:val="single" w:sz="4" w:space="0" w:color="auto"/>
              <w:left w:val="nil"/>
              <w:bottom w:val="single" w:sz="4" w:space="0" w:color="auto"/>
              <w:right w:val="nil"/>
            </w:tcBorders>
            <w:noWrap/>
            <w:vAlign w:val="bottom"/>
            <w:hideMark/>
          </w:tcPr>
          <w:p w14:paraId="07287CE0"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72%</w:t>
            </w:r>
          </w:p>
        </w:tc>
        <w:tc>
          <w:tcPr>
            <w:tcW w:w="1106" w:type="dxa"/>
            <w:tcBorders>
              <w:top w:val="single" w:sz="4" w:space="0" w:color="auto"/>
              <w:left w:val="nil"/>
              <w:bottom w:val="single" w:sz="4" w:space="0" w:color="auto"/>
              <w:right w:val="nil"/>
            </w:tcBorders>
            <w:noWrap/>
            <w:vAlign w:val="bottom"/>
            <w:hideMark/>
          </w:tcPr>
          <w:p w14:paraId="374B4E27"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69%</w:t>
            </w:r>
          </w:p>
        </w:tc>
        <w:tc>
          <w:tcPr>
            <w:tcW w:w="1103" w:type="dxa"/>
            <w:tcBorders>
              <w:top w:val="single" w:sz="4" w:space="0" w:color="auto"/>
              <w:left w:val="nil"/>
              <w:bottom w:val="single" w:sz="4" w:space="0" w:color="auto"/>
            </w:tcBorders>
            <w:noWrap/>
            <w:vAlign w:val="bottom"/>
            <w:hideMark/>
          </w:tcPr>
          <w:p w14:paraId="5F02118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52%</w:t>
            </w:r>
          </w:p>
        </w:tc>
        <w:tc>
          <w:tcPr>
            <w:tcW w:w="1207" w:type="dxa"/>
            <w:tcBorders>
              <w:top w:val="single" w:sz="4" w:space="0" w:color="auto"/>
              <w:bottom w:val="single" w:sz="4" w:space="0" w:color="auto"/>
            </w:tcBorders>
            <w:noWrap/>
            <w:vAlign w:val="bottom"/>
            <w:hideMark/>
          </w:tcPr>
          <w:p w14:paraId="6D6715F9"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24</w:t>
            </w:r>
          </w:p>
        </w:tc>
        <w:tc>
          <w:tcPr>
            <w:tcW w:w="1060" w:type="dxa"/>
            <w:tcBorders>
              <w:top w:val="single" w:sz="4" w:space="0" w:color="auto"/>
              <w:bottom w:val="single" w:sz="4" w:space="0" w:color="auto"/>
            </w:tcBorders>
            <w:noWrap/>
            <w:vAlign w:val="bottom"/>
            <w:hideMark/>
          </w:tcPr>
          <w:p w14:paraId="26C2D88F"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19</w:t>
            </w:r>
          </w:p>
        </w:tc>
        <w:tc>
          <w:tcPr>
            <w:tcW w:w="1168" w:type="dxa"/>
            <w:tcBorders>
              <w:top w:val="single" w:sz="4" w:space="0" w:color="auto"/>
              <w:bottom w:val="single" w:sz="4" w:space="0" w:color="auto"/>
            </w:tcBorders>
            <w:noWrap/>
            <w:vAlign w:val="bottom"/>
            <w:hideMark/>
          </w:tcPr>
          <w:p w14:paraId="1BFABD65"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14</w:t>
            </w:r>
          </w:p>
        </w:tc>
        <w:tc>
          <w:tcPr>
            <w:tcW w:w="1284" w:type="dxa"/>
            <w:tcBorders>
              <w:top w:val="single" w:sz="4" w:space="0" w:color="auto"/>
              <w:bottom w:val="single" w:sz="4" w:space="0" w:color="auto"/>
            </w:tcBorders>
            <w:noWrap/>
            <w:vAlign w:val="bottom"/>
            <w:hideMark/>
          </w:tcPr>
          <w:p w14:paraId="7D407E31" w14:textId="77777777" w:rsidR="000C3DA1" w:rsidRPr="000F5C6F" w:rsidRDefault="000C3DA1"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r>
    </w:tbl>
    <w:p w14:paraId="73882FBF" w14:textId="77777777" w:rsidR="00F73CDF" w:rsidRPr="000F5C6F" w:rsidRDefault="00F73CDF" w:rsidP="00F73CDF">
      <w:pPr>
        <w:spacing w:before="240" w:after="240" w:line="240" w:lineRule="auto"/>
        <w:ind w:left="720"/>
        <w:jc w:val="both"/>
        <w:rPr>
          <w:rFonts w:ascii="Times New Roman" w:hAnsi="Times New Roman" w:cs="Times New Roman"/>
        </w:rPr>
      </w:pPr>
      <w:r w:rsidRPr="000F5C6F">
        <w:rPr>
          <w:rFonts w:ascii="Times New Roman" w:hAnsi="Times New Roman" w:cs="Times New Roman"/>
        </w:rPr>
        <w:t>In secondary UG program</w:t>
      </w:r>
      <w:r>
        <w:rPr>
          <w:rFonts w:ascii="Times New Roman" w:hAnsi="Times New Roman" w:cs="Times New Roman"/>
        </w:rPr>
        <w:t>me</w:t>
      </w:r>
      <w:r w:rsidRPr="000F5C6F">
        <w:rPr>
          <w:rFonts w:ascii="Times New Roman" w:hAnsi="Times New Roman" w:cs="Times New Roman"/>
        </w:rPr>
        <w:t>s, QLD and Tasmania lack ICT/DL education, the NT has no opportunities in any non-digital teaching area, QLD focuses more on digital than other technologies, and Tasmania has no</w:t>
      </w:r>
      <w:r>
        <w:rPr>
          <w:rFonts w:ascii="Times New Roman" w:hAnsi="Times New Roman" w:cs="Times New Roman"/>
        </w:rPr>
        <w:t>t a single</w:t>
      </w:r>
      <w:r w:rsidRPr="000F5C6F">
        <w:rPr>
          <w:rFonts w:ascii="Times New Roman" w:hAnsi="Times New Roman" w:cs="Times New Roman"/>
        </w:rPr>
        <w:t xml:space="preserve"> domestic pathway to become a secondary technologies teacher (Table 4).</w:t>
      </w:r>
    </w:p>
    <w:tbl>
      <w:tblPr>
        <w:tblW w:w="12752" w:type="dxa"/>
        <w:tblLook w:val="04A0" w:firstRow="1" w:lastRow="0" w:firstColumn="1" w:lastColumn="0" w:noHBand="0" w:noVBand="1"/>
      </w:tblPr>
      <w:tblGrid>
        <w:gridCol w:w="1331"/>
        <w:gridCol w:w="1504"/>
        <w:gridCol w:w="1418"/>
        <w:gridCol w:w="283"/>
        <w:gridCol w:w="1207"/>
        <w:gridCol w:w="1060"/>
        <w:gridCol w:w="1049"/>
        <w:gridCol w:w="1275"/>
        <w:gridCol w:w="3680"/>
      </w:tblGrid>
      <w:tr w:rsidR="00B2438D" w:rsidRPr="000F5C6F" w14:paraId="69DD095F" w14:textId="77777777" w:rsidTr="005B412F">
        <w:trPr>
          <w:trHeight w:val="564"/>
        </w:trPr>
        <w:tc>
          <w:tcPr>
            <w:tcW w:w="9072" w:type="dxa"/>
            <w:gridSpan w:val="8"/>
            <w:tcBorders>
              <w:top w:val="nil"/>
              <w:left w:val="nil"/>
              <w:bottom w:val="single" w:sz="4" w:space="0" w:color="auto"/>
              <w:right w:val="nil"/>
            </w:tcBorders>
            <w:noWrap/>
            <w:vAlign w:val="bottom"/>
            <w:hideMark/>
          </w:tcPr>
          <w:p w14:paraId="1AEA5435" w14:textId="21D67790" w:rsidR="00B2438D" w:rsidRPr="00536354" w:rsidRDefault="00B2438D" w:rsidP="000F5C6F">
            <w:pPr>
              <w:spacing w:line="240" w:lineRule="auto"/>
              <w:jc w:val="both"/>
              <w:rPr>
                <w:rFonts w:ascii="Times New Roman" w:eastAsia="Times New Roman" w:hAnsi="Times New Roman" w:cs="Times New Roman"/>
                <w:b/>
                <w:bCs/>
                <w:color w:val="000000"/>
                <w:lang w:val="en-AU"/>
              </w:rPr>
            </w:pPr>
            <w:r w:rsidRPr="00536354">
              <w:rPr>
                <w:rFonts w:ascii="Times New Roman" w:eastAsia="Times New Roman" w:hAnsi="Times New Roman" w:cs="Times New Roman"/>
                <w:b/>
                <w:bCs/>
                <w:color w:val="000000"/>
                <w:lang w:val="en-AU"/>
              </w:rPr>
              <w:t>Table 5</w:t>
            </w:r>
            <w:r w:rsidR="00536354" w:rsidRPr="00536354">
              <w:rPr>
                <w:rFonts w:ascii="Times New Roman" w:eastAsia="Times New Roman" w:hAnsi="Times New Roman" w:cs="Times New Roman"/>
                <w:b/>
                <w:bCs/>
                <w:color w:val="000000"/>
                <w:lang w:val="en-AU"/>
              </w:rPr>
              <w:t>:</w:t>
            </w:r>
          </w:p>
          <w:p w14:paraId="2AAD268F" w14:textId="5F515B6B"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hAnsi="Times New Roman" w:cs="Times New Roman"/>
                <w:bCs/>
                <w:i/>
                <w:iCs/>
              </w:rPr>
              <w:t xml:space="preserve">Postgraduate Secondary Courses Technologies Education </w:t>
            </w:r>
            <w:r w:rsidR="00502BAE" w:rsidRPr="000F5C6F">
              <w:rPr>
                <w:rFonts w:ascii="Times New Roman" w:hAnsi="Times New Roman" w:cs="Times New Roman"/>
                <w:bCs/>
                <w:i/>
                <w:iCs/>
              </w:rPr>
              <w:t>I</w:t>
            </w:r>
            <w:r w:rsidRPr="000F5C6F">
              <w:rPr>
                <w:rFonts w:ascii="Times New Roman" w:hAnsi="Times New Roman" w:cs="Times New Roman"/>
                <w:bCs/>
                <w:i/>
                <w:iCs/>
              </w:rPr>
              <w:t>nclusion</w:t>
            </w:r>
            <w:r w:rsidR="00106B24" w:rsidRPr="000F5C6F">
              <w:rPr>
                <w:rFonts w:ascii="Times New Roman" w:hAnsi="Times New Roman" w:cs="Times New Roman"/>
                <w:bCs/>
                <w:i/>
                <w:iCs/>
              </w:rPr>
              <w:t xml:space="preserve"> and</w:t>
            </w:r>
          </w:p>
          <w:p w14:paraId="4FAD035B" w14:textId="7700CE5D" w:rsidR="00B2438D" w:rsidRPr="000F5C6F" w:rsidRDefault="00B2438D" w:rsidP="00536354">
            <w:pPr>
              <w:spacing w:after="120" w:line="240" w:lineRule="auto"/>
              <w:jc w:val="both"/>
              <w:rPr>
                <w:rFonts w:ascii="Times New Roman" w:eastAsia="Times New Roman" w:hAnsi="Times New Roman" w:cs="Times New Roman"/>
                <w:i/>
                <w:iCs/>
                <w:color w:val="000000"/>
                <w:lang w:val="en-AU"/>
              </w:rPr>
            </w:pPr>
            <w:r w:rsidRPr="000F5C6F">
              <w:rPr>
                <w:rFonts w:ascii="Times New Roman" w:eastAsia="Times New Roman" w:hAnsi="Times New Roman" w:cs="Times New Roman"/>
                <w:i/>
                <w:iCs/>
                <w:color w:val="000000"/>
                <w:lang w:val="en-AU"/>
              </w:rPr>
              <w:t xml:space="preserve">Average </w:t>
            </w:r>
            <w:r w:rsidR="00502BAE" w:rsidRPr="000F5C6F">
              <w:rPr>
                <w:rFonts w:ascii="Times New Roman" w:eastAsia="Times New Roman" w:hAnsi="Times New Roman" w:cs="Times New Roman"/>
                <w:i/>
                <w:iCs/>
                <w:color w:val="000000"/>
                <w:lang w:val="en-AU"/>
              </w:rPr>
              <w:t>N</w:t>
            </w:r>
            <w:r w:rsidRPr="000F5C6F">
              <w:rPr>
                <w:rFonts w:ascii="Times New Roman" w:eastAsia="Times New Roman" w:hAnsi="Times New Roman" w:cs="Times New Roman"/>
                <w:i/>
                <w:iCs/>
                <w:color w:val="000000"/>
                <w:lang w:val="en-AU"/>
              </w:rPr>
              <w:t xml:space="preserve">umber of Teaching Area </w:t>
            </w:r>
            <w:r w:rsidR="00502BAE" w:rsidRPr="000F5C6F">
              <w:rPr>
                <w:rFonts w:ascii="Times New Roman" w:eastAsia="Times New Roman" w:hAnsi="Times New Roman" w:cs="Times New Roman"/>
                <w:i/>
                <w:iCs/>
                <w:color w:val="000000"/>
                <w:lang w:val="en-AU"/>
              </w:rPr>
              <w:t>C</w:t>
            </w:r>
            <w:r w:rsidRPr="000F5C6F">
              <w:rPr>
                <w:rFonts w:ascii="Times New Roman" w:eastAsia="Times New Roman" w:hAnsi="Times New Roman" w:cs="Times New Roman"/>
                <w:i/>
                <w:iCs/>
                <w:color w:val="000000"/>
                <w:lang w:val="en-AU"/>
              </w:rPr>
              <w:t>ourses</w:t>
            </w:r>
          </w:p>
        </w:tc>
        <w:tc>
          <w:tcPr>
            <w:tcW w:w="3680" w:type="dxa"/>
            <w:tcBorders>
              <w:top w:val="nil"/>
              <w:left w:val="nil"/>
              <w:bottom w:val="nil"/>
              <w:right w:val="nil"/>
            </w:tcBorders>
            <w:noWrap/>
            <w:vAlign w:val="bottom"/>
            <w:hideMark/>
          </w:tcPr>
          <w:p w14:paraId="3B6697DF"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p>
        </w:tc>
      </w:tr>
      <w:tr w:rsidR="00B2438D" w:rsidRPr="000F5C6F" w14:paraId="14EA3A8C" w14:textId="77777777" w:rsidTr="005B412F">
        <w:trPr>
          <w:gridAfter w:val="1"/>
          <w:wAfter w:w="3680" w:type="dxa"/>
          <w:trHeight w:val="306"/>
        </w:trPr>
        <w:tc>
          <w:tcPr>
            <w:tcW w:w="1331" w:type="dxa"/>
            <w:tcBorders>
              <w:top w:val="single" w:sz="4" w:space="0" w:color="auto"/>
              <w:left w:val="nil"/>
              <w:bottom w:val="single" w:sz="4" w:space="0" w:color="auto"/>
            </w:tcBorders>
            <w:noWrap/>
            <w:vAlign w:val="bottom"/>
            <w:hideMark/>
          </w:tcPr>
          <w:p w14:paraId="5FBD66AA"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504" w:type="dxa"/>
            <w:tcBorders>
              <w:top w:val="single" w:sz="4" w:space="0" w:color="auto"/>
              <w:bottom w:val="single" w:sz="4" w:space="0" w:color="auto"/>
            </w:tcBorders>
            <w:noWrap/>
            <w:vAlign w:val="bottom"/>
            <w:hideMark/>
          </w:tcPr>
          <w:p w14:paraId="001869D8"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ICT/DL</w:t>
            </w:r>
          </w:p>
        </w:tc>
        <w:tc>
          <w:tcPr>
            <w:tcW w:w="1418" w:type="dxa"/>
            <w:tcBorders>
              <w:top w:val="single" w:sz="4" w:space="0" w:color="auto"/>
              <w:bottom w:val="single" w:sz="4" w:space="0" w:color="auto"/>
            </w:tcBorders>
            <w:noWrap/>
            <w:vAlign w:val="bottom"/>
            <w:hideMark/>
          </w:tcPr>
          <w:p w14:paraId="43A12E07" w14:textId="2BEC024F"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Technologies</w:t>
            </w:r>
          </w:p>
        </w:tc>
        <w:tc>
          <w:tcPr>
            <w:tcW w:w="283" w:type="dxa"/>
            <w:tcBorders>
              <w:top w:val="single" w:sz="4" w:space="0" w:color="auto"/>
              <w:bottom w:val="single" w:sz="4" w:space="0" w:color="auto"/>
            </w:tcBorders>
            <w:noWrap/>
            <w:vAlign w:val="bottom"/>
            <w:hideMark/>
          </w:tcPr>
          <w:p w14:paraId="196FA2FB" w14:textId="27E5D4FA"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tcBorders>
              <w:top w:val="single" w:sz="4" w:space="0" w:color="auto"/>
              <w:bottom w:val="single" w:sz="4" w:space="0" w:color="auto"/>
            </w:tcBorders>
            <w:noWrap/>
            <w:vAlign w:val="bottom"/>
            <w:hideMark/>
          </w:tcPr>
          <w:p w14:paraId="6ACC2F87"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Computing</w:t>
            </w:r>
          </w:p>
        </w:tc>
        <w:tc>
          <w:tcPr>
            <w:tcW w:w="1028" w:type="dxa"/>
            <w:tcBorders>
              <w:top w:val="single" w:sz="4" w:space="0" w:color="auto"/>
              <w:bottom w:val="single" w:sz="4" w:space="0" w:color="auto"/>
            </w:tcBorders>
            <w:noWrap/>
            <w:vAlign w:val="bottom"/>
            <w:hideMark/>
          </w:tcPr>
          <w:p w14:paraId="36483EA9"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Industrial</w:t>
            </w:r>
          </w:p>
        </w:tc>
        <w:tc>
          <w:tcPr>
            <w:tcW w:w="1049" w:type="dxa"/>
            <w:tcBorders>
              <w:top w:val="single" w:sz="4" w:space="0" w:color="auto"/>
              <w:bottom w:val="single" w:sz="4" w:space="0" w:color="auto"/>
            </w:tcBorders>
            <w:noWrap/>
            <w:vAlign w:val="bottom"/>
            <w:hideMark/>
          </w:tcPr>
          <w:p w14:paraId="0C98B389"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Home Ec</w:t>
            </w:r>
          </w:p>
        </w:tc>
        <w:tc>
          <w:tcPr>
            <w:tcW w:w="1275" w:type="dxa"/>
            <w:tcBorders>
              <w:top w:val="single" w:sz="4" w:space="0" w:color="auto"/>
              <w:bottom w:val="single" w:sz="4" w:space="0" w:color="auto"/>
            </w:tcBorders>
            <w:noWrap/>
            <w:vAlign w:val="bottom"/>
            <w:hideMark/>
          </w:tcPr>
          <w:p w14:paraId="592C55F3"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Agriculture</w:t>
            </w:r>
          </w:p>
        </w:tc>
      </w:tr>
      <w:tr w:rsidR="00B2438D" w:rsidRPr="000F5C6F" w14:paraId="11E97473" w14:textId="77777777" w:rsidTr="005B412F">
        <w:trPr>
          <w:gridAfter w:val="1"/>
          <w:wAfter w:w="3680" w:type="dxa"/>
          <w:trHeight w:val="306"/>
        </w:trPr>
        <w:tc>
          <w:tcPr>
            <w:tcW w:w="1331" w:type="dxa"/>
            <w:tcBorders>
              <w:top w:val="single" w:sz="4" w:space="0" w:color="auto"/>
              <w:left w:val="nil"/>
              <w:bottom w:val="nil"/>
              <w:right w:val="nil"/>
            </w:tcBorders>
            <w:noWrap/>
            <w:vAlign w:val="bottom"/>
            <w:hideMark/>
          </w:tcPr>
          <w:p w14:paraId="78D4DC94"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ACT</w:t>
            </w:r>
          </w:p>
        </w:tc>
        <w:tc>
          <w:tcPr>
            <w:tcW w:w="1504" w:type="dxa"/>
            <w:tcBorders>
              <w:top w:val="single" w:sz="4" w:space="0" w:color="auto"/>
              <w:left w:val="nil"/>
              <w:bottom w:val="nil"/>
              <w:right w:val="nil"/>
            </w:tcBorders>
            <w:shd w:val="clear" w:color="000000" w:fill="DAF2D0"/>
            <w:noWrap/>
            <w:vAlign w:val="bottom"/>
            <w:hideMark/>
          </w:tcPr>
          <w:p w14:paraId="191F2429" w14:textId="16F3DD58"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418" w:type="dxa"/>
            <w:tcBorders>
              <w:top w:val="single" w:sz="4" w:space="0" w:color="auto"/>
              <w:left w:val="nil"/>
              <w:bottom w:val="nil"/>
              <w:right w:val="nil"/>
            </w:tcBorders>
            <w:shd w:val="clear" w:color="000000" w:fill="DAF2D0"/>
            <w:noWrap/>
            <w:vAlign w:val="bottom"/>
            <w:hideMark/>
          </w:tcPr>
          <w:p w14:paraId="5ABAFF40" w14:textId="24ACCB45"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83" w:type="dxa"/>
            <w:tcBorders>
              <w:top w:val="single" w:sz="4" w:space="0" w:color="auto"/>
              <w:left w:val="nil"/>
              <w:bottom w:val="nil"/>
            </w:tcBorders>
            <w:noWrap/>
            <w:vAlign w:val="bottom"/>
            <w:hideMark/>
          </w:tcPr>
          <w:p w14:paraId="52DF2998" w14:textId="13FECCB1"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tcBorders>
              <w:top w:val="single" w:sz="4" w:space="0" w:color="auto"/>
            </w:tcBorders>
            <w:noWrap/>
            <w:vAlign w:val="bottom"/>
            <w:hideMark/>
          </w:tcPr>
          <w:p w14:paraId="564B82E9" w14:textId="50EEC96B"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FF0000"/>
                <w:lang w:val="en-AU"/>
              </w:rPr>
              <w:t>0</w:t>
            </w:r>
          </w:p>
        </w:tc>
        <w:tc>
          <w:tcPr>
            <w:tcW w:w="1028" w:type="dxa"/>
            <w:tcBorders>
              <w:top w:val="single" w:sz="4" w:space="0" w:color="auto"/>
            </w:tcBorders>
            <w:noWrap/>
            <w:vAlign w:val="bottom"/>
            <w:hideMark/>
          </w:tcPr>
          <w:p w14:paraId="29EA048E" w14:textId="0BB11BAE"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FF0000"/>
                <w:lang w:val="en-AU"/>
              </w:rPr>
              <w:t>0</w:t>
            </w:r>
          </w:p>
        </w:tc>
        <w:tc>
          <w:tcPr>
            <w:tcW w:w="1049" w:type="dxa"/>
            <w:tcBorders>
              <w:top w:val="single" w:sz="4" w:space="0" w:color="auto"/>
            </w:tcBorders>
            <w:noWrap/>
            <w:vAlign w:val="bottom"/>
            <w:hideMark/>
          </w:tcPr>
          <w:p w14:paraId="11BD823F" w14:textId="4E170D2D"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FF0000"/>
                <w:lang w:val="en-AU"/>
              </w:rPr>
              <w:t>0</w:t>
            </w:r>
          </w:p>
        </w:tc>
        <w:tc>
          <w:tcPr>
            <w:tcW w:w="1275" w:type="dxa"/>
            <w:tcBorders>
              <w:top w:val="single" w:sz="4" w:space="0" w:color="auto"/>
            </w:tcBorders>
            <w:noWrap/>
            <w:vAlign w:val="bottom"/>
            <w:hideMark/>
          </w:tcPr>
          <w:p w14:paraId="2E3A6961" w14:textId="6431D08D"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2D20CBC7" w14:textId="77777777" w:rsidTr="005B412F">
        <w:trPr>
          <w:gridAfter w:val="1"/>
          <w:wAfter w:w="3680" w:type="dxa"/>
          <w:trHeight w:val="306"/>
        </w:trPr>
        <w:tc>
          <w:tcPr>
            <w:tcW w:w="1331" w:type="dxa"/>
            <w:tcBorders>
              <w:top w:val="nil"/>
              <w:left w:val="nil"/>
              <w:bottom w:val="nil"/>
              <w:right w:val="nil"/>
            </w:tcBorders>
            <w:noWrap/>
            <w:vAlign w:val="bottom"/>
            <w:hideMark/>
          </w:tcPr>
          <w:p w14:paraId="44251AD2"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NSW</w:t>
            </w:r>
          </w:p>
        </w:tc>
        <w:tc>
          <w:tcPr>
            <w:tcW w:w="1504" w:type="dxa"/>
            <w:tcBorders>
              <w:top w:val="nil"/>
              <w:left w:val="nil"/>
              <w:bottom w:val="nil"/>
              <w:right w:val="nil"/>
            </w:tcBorders>
            <w:shd w:val="clear" w:color="000000" w:fill="FBE2D5"/>
            <w:noWrap/>
            <w:vAlign w:val="bottom"/>
            <w:hideMark/>
          </w:tcPr>
          <w:p w14:paraId="5E82C939" w14:textId="27CDC304"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67%</w:t>
            </w:r>
          </w:p>
        </w:tc>
        <w:tc>
          <w:tcPr>
            <w:tcW w:w="1418" w:type="dxa"/>
            <w:tcBorders>
              <w:top w:val="nil"/>
              <w:left w:val="nil"/>
              <w:bottom w:val="nil"/>
              <w:right w:val="nil"/>
            </w:tcBorders>
            <w:shd w:val="clear" w:color="000000" w:fill="FBE2D5"/>
            <w:noWrap/>
            <w:vAlign w:val="bottom"/>
            <w:hideMark/>
          </w:tcPr>
          <w:p w14:paraId="5A6E6EDD" w14:textId="102B239E"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58%</w:t>
            </w:r>
          </w:p>
        </w:tc>
        <w:tc>
          <w:tcPr>
            <w:tcW w:w="283" w:type="dxa"/>
            <w:tcBorders>
              <w:top w:val="nil"/>
              <w:left w:val="nil"/>
              <w:bottom w:val="nil"/>
            </w:tcBorders>
            <w:noWrap/>
            <w:vAlign w:val="bottom"/>
            <w:hideMark/>
          </w:tcPr>
          <w:p w14:paraId="59A00859" w14:textId="62021B9E"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6B6D2608" w14:textId="0EFA5A49"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1028" w:type="dxa"/>
            <w:noWrap/>
            <w:vAlign w:val="bottom"/>
            <w:hideMark/>
          </w:tcPr>
          <w:p w14:paraId="5558E9BB" w14:textId="330EFD06"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0.25</w:t>
            </w:r>
          </w:p>
        </w:tc>
        <w:tc>
          <w:tcPr>
            <w:tcW w:w="1049" w:type="dxa"/>
            <w:noWrap/>
            <w:vAlign w:val="bottom"/>
            <w:hideMark/>
          </w:tcPr>
          <w:p w14:paraId="4F0B8945" w14:textId="62DAE4D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FF0000"/>
                <w:lang w:val="en-AU"/>
              </w:rPr>
              <w:t>0</w:t>
            </w:r>
          </w:p>
        </w:tc>
        <w:tc>
          <w:tcPr>
            <w:tcW w:w="1275" w:type="dxa"/>
            <w:noWrap/>
            <w:vAlign w:val="bottom"/>
            <w:hideMark/>
          </w:tcPr>
          <w:p w14:paraId="089DE9D8" w14:textId="0485AA32"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0.42</w:t>
            </w:r>
          </w:p>
        </w:tc>
      </w:tr>
      <w:tr w:rsidR="00B2438D" w:rsidRPr="000F5C6F" w14:paraId="0EEE3C60" w14:textId="77777777" w:rsidTr="005B412F">
        <w:trPr>
          <w:gridAfter w:val="1"/>
          <w:wAfter w:w="3680" w:type="dxa"/>
          <w:trHeight w:val="306"/>
        </w:trPr>
        <w:tc>
          <w:tcPr>
            <w:tcW w:w="1331" w:type="dxa"/>
            <w:tcBorders>
              <w:top w:val="nil"/>
              <w:left w:val="nil"/>
              <w:bottom w:val="nil"/>
              <w:right w:val="nil"/>
            </w:tcBorders>
            <w:noWrap/>
            <w:vAlign w:val="bottom"/>
            <w:hideMark/>
          </w:tcPr>
          <w:p w14:paraId="5E364FA2"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NT</w:t>
            </w:r>
          </w:p>
        </w:tc>
        <w:tc>
          <w:tcPr>
            <w:tcW w:w="1504" w:type="dxa"/>
            <w:tcBorders>
              <w:top w:val="nil"/>
              <w:left w:val="nil"/>
              <w:bottom w:val="nil"/>
              <w:right w:val="nil"/>
            </w:tcBorders>
            <w:shd w:val="clear" w:color="auto" w:fill="FD647C"/>
            <w:noWrap/>
            <w:vAlign w:val="bottom"/>
            <w:hideMark/>
          </w:tcPr>
          <w:p w14:paraId="6499D87C" w14:textId="01302F04"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1418" w:type="dxa"/>
            <w:tcBorders>
              <w:top w:val="nil"/>
              <w:left w:val="nil"/>
              <w:bottom w:val="nil"/>
              <w:right w:val="nil"/>
            </w:tcBorders>
            <w:shd w:val="clear" w:color="000000" w:fill="DAF2D0"/>
            <w:noWrap/>
            <w:vAlign w:val="bottom"/>
            <w:hideMark/>
          </w:tcPr>
          <w:p w14:paraId="7D12F6B1" w14:textId="7B942688"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83" w:type="dxa"/>
            <w:tcBorders>
              <w:top w:val="nil"/>
              <w:left w:val="nil"/>
              <w:bottom w:val="nil"/>
            </w:tcBorders>
            <w:noWrap/>
            <w:vAlign w:val="bottom"/>
            <w:hideMark/>
          </w:tcPr>
          <w:p w14:paraId="5B8EE8D9" w14:textId="7D9721F8"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1487B31D" w14:textId="3B06B234"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028" w:type="dxa"/>
            <w:noWrap/>
            <w:vAlign w:val="bottom"/>
            <w:hideMark/>
          </w:tcPr>
          <w:p w14:paraId="34EF10B0" w14:textId="19A38DFF"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049" w:type="dxa"/>
            <w:noWrap/>
            <w:vAlign w:val="bottom"/>
            <w:hideMark/>
          </w:tcPr>
          <w:p w14:paraId="52600FC5" w14:textId="2097ECA5"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FF0000"/>
                <w:lang w:val="en-AU"/>
              </w:rPr>
              <w:t>0</w:t>
            </w:r>
          </w:p>
        </w:tc>
        <w:tc>
          <w:tcPr>
            <w:tcW w:w="1275" w:type="dxa"/>
            <w:noWrap/>
            <w:vAlign w:val="bottom"/>
            <w:hideMark/>
          </w:tcPr>
          <w:p w14:paraId="4A49DE9E" w14:textId="5FA06368"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29B5D2DD" w14:textId="77777777" w:rsidTr="005B412F">
        <w:trPr>
          <w:gridAfter w:val="1"/>
          <w:wAfter w:w="3680" w:type="dxa"/>
          <w:trHeight w:val="306"/>
        </w:trPr>
        <w:tc>
          <w:tcPr>
            <w:tcW w:w="1331" w:type="dxa"/>
            <w:tcBorders>
              <w:top w:val="nil"/>
              <w:left w:val="nil"/>
              <w:bottom w:val="nil"/>
              <w:right w:val="nil"/>
            </w:tcBorders>
            <w:noWrap/>
            <w:vAlign w:val="bottom"/>
            <w:hideMark/>
          </w:tcPr>
          <w:p w14:paraId="648EF4B5"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QLD</w:t>
            </w:r>
          </w:p>
        </w:tc>
        <w:tc>
          <w:tcPr>
            <w:tcW w:w="1504" w:type="dxa"/>
            <w:tcBorders>
              <w:top w:val="nil"/>
              <w:left w:val="nil"/>
              <w:bottom w:val="nil"/>
              <w:right w:val="nil"/>
            </w:tcBorders>
            <w:shd w:val="clear" w:color="000000" w:fill="FBE2D5"/>
            <w:noWrap/>
            <w:vAlign w:val="bottom"/>
            <w:hideMark/>
          </w:tcPr>
          <w:p w14:paraId="5B4EA8AE" w14:textId="083130DA"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1418" w:type="dxa"/>
            <w:tcBorders>
              <w:top w:val="nil"/>
              <w:left w:val="nil"/>
              <w:bottom w:val="nil"/>
              <w:right w:val="nil"/>
            </w:tcBorders>
            <w:shd w:val="clear" w:color="000000" w:fill="FBE2D5"/>
            <w:noWrap/>
            <w:vAlign w:val="bottom"/>
            <w:hideMark/>
          </w:tcPr>
          <w:p w14:paraId="73AA0EBF" w14:textId="44B8B8C3"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283" w:type="dxa"/>
            <w:tcBorders>
              <w:top w:val="nil"/>
              <w:left w:val="nil"/>
              <w:bottom w:val="nil"/>
            </w:tcBorders>
            <w:noWrap/>
            <w:vAlign w:val="bottom"/>
            <w:hideMark/>
          </w:tcPr>
          <w:p w14:paraId="5E04B909" w14:textId="7D94E2E2"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763B6DA6" w14:textId="123A4104"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w:t>
            </w:r>
          </w:p>
        </w:tc>
        <w:tc>
          <w:tcPr>
            <w:tcW w:w="1028" w:type="dxa"/>
            <w:noWrap/>
            <w:vAlign w:val="bottom"/>
            <w:hideMark/>
          </w:tcPr>
          <w:p w14:paraId="60EA8246" w14:textId="39493E29"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0.75</w:t>
            </w:r>
          </w:p>
        </w:tc>
        <w:tc>
          <w:tcPr>
            <w:tcW w:w="1049" w:type="dxa"/>
            <w:noWrap/>
            <w:vAlign w:val="bottom"/>
            <w:hideMark/>
          </w:tcPr>
          <w:p w14:paraId="1F9492C5" w14:textId="0F44F1EA"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275" w:type="dxa"/>
            <w:noWrap/>
            <w:vAlign w:val="bottom"/>
            <w:hideMark/>
          </w:tcPr>
          <w:p w14:paraId="21CF5327" w14:textId="479F5130"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FF0000"/>
                <w:lang w:val="en-AU"/>
              </w:rPr>
              <w:t>0</w:t>
            </w:r>
          </w:p>
        </w:tc>
      </w:tr>
      <w:tr w:rsidR="00B2438D" w:rsidRPr="000F5C6F" w14:paraId="1FBD817C" w14:textId="77777777" w:rsidTr="005B412F">
        <w:trPr>
          <w:gridAfter w:val="1"/>
          <w:wAfter w:w="3680" w:type="dxa"/>
          <w:trHeight w:val="306"/>
        </w:trPr>
        <w:tc>
          <w:tcPr>
            <w:tcW w:w="1331" w:type="dxa"/>
            <w:tcBorders>
              <w:top w:val="nil"/>
              <w:left w:val="nil"/>
              <w:bottom w:val="nil"/>
              <w:right w:val="nil"/>
            </w:tcBorders>
            <w:noWrap/>
            <w:vAlign w:val="bottom"/>
            <w:hideMark/>
          </w:tcPr>
          <w:p w14:paraId="3F673E01"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SA</w:t>
            </w:r>
          </w:p>
        </w:tc>
        <w:tc>
          <w:tcPr>
            <w:tcW w:w="1504" w:type="dxa"/>
            <w:tcBorders>
              <w:top w:val="nil"/>
              <w:left w:val="nil"/>
              <w:bottom w:val="nil"/>
              <w:right w:val="nil"/>
            </w:tcBorders>
            <w:shd w:val="clear" w:color="auto" w:fill="FBE3D6"/>
            <w:noWrap/>
            <w:vAlign w:val="bottom"/>
            <w:hideMark/>
          </w:tcPr>
          <w:p w14:paraId="76C27E68" w14:textId="36A85929"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50%</w:t>
            </w:r>
          </w:p>
        </w:tc>
        <w:tc>
          <w:tcPr>
            <w:tcW w:w="1418" w:type="dxa"/>
            <w:tcBorders>
              <w:top w:val="nil"/>
              <w:left w:val="nil"/>
              <w:bottom w:val="nil"/>
              <w:right w:val="nil"/>
            </w:tcBorders>
            <w:shd w:val="clear" w:color="000000" w:fill="FBE2D5"/>
            <w:noWrap/>
            <w:vAlign w:val="bottom"/>
            <w:hideMark/>
          </w:tcPr>
          <w:p w14:paraId="1E785804" w14:textId="5E5B3CD2"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283" w:type="dxa"/>
            <w:tcBorders>
              <w:top w:val="nil"/>
              <w:left w:val="nil"/>
              <w:bottom w:val="nil"/>
            </w:tcBorders>
            <w:noWrap/>
            <w:vAlign w:val="bottom"/>
            <w:hideMark/>
          </w:tcPr>
          <w:p w14:paraId="09D54B3A" w14:textId="6D3926AB"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56B3A545" w14:textId="7DE5B951"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0.38</w:t>
            </w:r>
          </w:p>
        </w:tc>
        <w:tc>
          <w:tcPr>
            <w:tcW w:w="1028" w:type="dxa"/>
            <w:noWrap/>
            <w:vAlign w:val="bottom"/>
            <w:hideMark/>
          </w:tcPr>
          <w:p w14:paraId="44D8208F" w14:textId="275516DB"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0.13</w:t>
            </w:r>
          </w:p>
        </w:tc>
        <w:tc>
          <w:tcPr>
            <w:tcW w:w="1049" w:type="dxa"/>
            <w:noWrap/>
            <w:vAlign w:val="bottom"/>
            <w:hideMark/>
          </w:tcPr>
          <w:p w14:paraId="3265D548" w14:textId="5DD40EBA"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275" w:type="dxa"/>
            <w:noWrap/>
            <w:vAlign w:val="bottom"/>
            <w:hideMark/>
          </w:tcPr>
          <w:p w14:paraId="07B40200" w14:textId="32C7E313"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06997C56" w14:textId="77777777" w:rsidTr="005B412F">
        <w:trPr>
          <w:gridAfter w:val="1"/>
          <w:wAfter w:w="3680" w:type="dxa"/>
          <w:trHeight w:val="306"/>
        </w:trPr>
        <w:tc>
          <w:tcPr>
            <w:tcW w:w="1331" w:type="dxa"/>
            <w:tcBorders>
              <w:top w:val="nil"/>
              <w:left w:val="nil"/>
              <w:bottom w:val="nil"/>
              <w:right w:val="nil"/>
            </w:tcBorders>
            <w:noWrap/>
            <w:vAlign w:val="bottom"/>
            <w:hideMark/>
          </w:tcPr>
          <w:p w14:paraId="441D3076"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TAS</w:t>
            </w:r>
          </w:p>
        </w:tc>
        <w:tc>
          <w:tcPr>
            <w:tcW w:w="1504" w:type="dxa"/>
            <w:tcBorders>
              <w:top w:val="nil"/>
              <w:left w:val="nil"/>
              <w:bottom w:val="nil"/>
              <w:right w:val="nil"/>
            </w:tcBorders>
            <w:shd w:val="clear" w:color="auto" w:fill="DBF3D0"/>
            <w:noWrap/>
            <w:vAlign w:val="bottom"/>
            <w:hideMark/>
          </w:tcPr>
          <w:p w14:paraId="2ED90479" w14:textId="0EAF5F4A"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418" w:type="dxa"/>
            <w:tcBorders>
              <w:top w:val="nil"/>
              <w:left w:val="nil"/>
              <w:bottom w:val="nil"/>
              <w:right w:val="nil"/>
            </w:tcBorders>
            <w:shd w:val="clear" w:color="000000" w:fill="FC647C"/>
            <w:noWrap/>
            <w:vAlign w:val="bottom"/>
            <w:hideMark/>
          </w:tcPr>
          <w:p w14:paraId="568D551F" w14:textId="5F8C31B1"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w:t>
            </w:r>
          </w:p>
        </w:tc>
        <w:tc>
          <w:tcPr>
            <w:tcW w:w="283" w:type="dxa"/>
            <w:tcBorders>
              <w:top w:val="nil"/>
              <w:left w:val="nil"/>
              <w:bottom w:val="nil"/>
            </w:tcBorders>
            <w:noWrap/>
            <w:vAlign w:val="bottom"/>
            <w:hideMark/>
          </w:tcPr>
          <w:p w14:paraId="070764D3" w14:textId="205B3D07"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41B3AEF8" w14:textId="41EA42F6"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028" w:type="dxa"/>
            <w:noWrap/>
            <w:vAlign w:val="bottom"/>
            <w:hideMark/>
          </w:tcPr>
          <w:p w14:paraId="254C4267" w14:textId="4D9FFF51"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049" w:type="dxa"/>
            <w:noWrap/>
            <w:vAlign w:val="bottom"/>
            <w:hideMark/>
          </w:tcPr>
          <w:p w14:paraId="799C28E1" w14:textId="7A4AD181"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c>
          <w:tcPr>
            <w:tcW w:w="1275" w:type="dxa"/>
            <w:noWrap/>
            <w:vAlign w:val="bottom"/>
            <w:hideMark/>
          </w:tcPr>
          <w:p w14:paraId="76D93A2B" w14:textId="6FEAD534"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272B00F6" w14:textId="77777777" w:rsidTr="005B412F">
        <w:trPr>
          <w:gridAfter w:val="1"/>
          <w:wAfter w:w="3680" w:type="dxa"/>
          <w:trHeight w:val="306"/>
        </w:trPr>
        <w:tc>
          <w:tcPr>
            <w:tcW w:w="1331" w:type="dxa"/>
            <w:tcBorders>
              <w:top w:val="nil"/>
              <w:left w:val="nil"/>
              <w:bottom w:val="nil"/>
              <w:right w:val="nil"/>
            </w:tcBorders>
            <w:noWrap/>
            <w:vAlign w:val="bottom"/>
            <w:hideMark/>
          </w:tcPr>
          <w:p w14:paraId="49439455"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VIC</w:t>
            </w:r>
          </w:p>
        </w:tc>
        <w:tc>
          <w:tcPr>
            <w:tcW w:w="1504" w:type="dxa"/>
            <w:tcBorders>
              <w:top w:val="nil"/>
              <w:left w:val="nil"/>
              <w:bottom w:val="nil"/>
              <w:right w:val="nil"/>
            </w:tcBorders>
            <w:shd w:val="clear" w:color="000000" w:fill="FBE2D5"/>
            <w:noWrap/>
            <w:vAlign w:val="bottom"/>
            <w:hideMark/>
          </w:tcPr>
          <w:p w14:paraId="409E5759" w14:textId="2DC7B00E"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80%</w:t>
            </w:r>
          </w:p>
        </w:tc>
        <w:tc>
          <w:tcPr>
            <w:tcW w:w="1418" w:type="dxa"/>
            <w:tcBorders>
              <w:top w:val="nil"/>
              <w:left w:val="nil"/>
              <w:bottom w:val="nil"/>
              <w:right w:val="nil"/>
            </w:tcBorders>
            <w:shd w:val="clear" w:color="auto" w:fill="DCF4D0"/>
            <w:noWrap/>
            <w:vAlign w:val="bottom"/>
            <w:hideMark/>
          </w:tcPr>
          <w:p w14:paraId="1589BC57" w14:textId="554F1AC3"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83" w:type="dxa"/>
            <w:tcBorders>
              <w:top w:val="nil"/>
              <w:left w:val="nil"/>
              <w:bottom w:val="nil"/>
            </w:tcBorders>
            <w:noWrap/>
            <w:vAlign w:val="bottom"/>
            <w:hideMark/>
          </w:tcPr>
          <w:p w14:paraId="600B0243" w14:textId="56C28940"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2162A812" w14:textId="3B1C6AD2"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0.38</w:t>
            </w:r>
          </w:p>
        </w:tc>
        <w:tc>
          <w:tcPr>
            <w:tcW w:w="1028" w:type="dxa"/>
            <w:noWrap/>
            <w:vAlign w:val="bottom"/>
            <w:hideMark/>
          </w:tcPr>
          <w:p w14:paraId="60D68B4F" w14:textId="099801E7"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000000"/>
                <w:lang w:val="en-AU"/>
              </w:rPr>
              <w:t>0.25</w:t>
            </w:r>
          </w:p>
        </w:tc>
        <w:tc>
          <w:tcPr>
            <w:tcW w:w="1049" w:type="dxa"/>
            <w:noWrap/>
            <w:vAlign w:val="bottom"/>
            <w:hideMark/>
          </w:tcPr>
          <w:p w14:paraId="21AB4E90" w14:textId="01066EC4"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0.38</w:t>
            </w:r>
          </w:p>
        </w:tc>
        <w:tc>
          <w:tcPr>
            <w:tcW w:w="1275" w:type="dxa"/>
            <w:noWrap/>
            <w:vAlign w:val="bottom"/>
            <w:hideMark/>
          </w:tcPr>
          <w:p w14:paraId="43F19D44" w14:textId="554CE4AE"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170C51A6" w14:textId="77777777" w:rsidTr="005B412F">
        <w:trPr>
          <w:gridAfter w:val="1"/>
          <w:wAfter w:w="3680" w:type="dxa"/>
          <w:trHeight w:val="306"/>
        </w:trPr>
        <w:tc>
          <w:tcPr>
            <w:tcW w:w="1331" w:type="dxa"/>
            <w:tcBorders>
              <w:top w:val="nil"/>
              <w:left w:val="nil"/>
              <w:bottom w:val="nil"/>
              <w:right w:val="nil"/>
            </w:tcBorders>
            <w:noWrap/>
            <w:vAlign w:val="bottom"/>
            <w:hideMark/>
          </w:tcPr>
          <w:p w14:paraId="37D0AD3E"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WA</w:t>
            </w:r>
          </w:p>
        </w:tc>
        <w:tc>
          <w:tcPr>
            <w:tcW w:w="1504" w:type="dxa"/>
            <w:tcBorders>
              <w:top w:val="nil"/>
              <w:left w:val="nil"/>
              <w:bottom w:val="nil"/>
              <w:right w:val="nil"/>
            </w:tcBorders>
            <w:shd w:val="clear" w:color="auto" w:fill="DBF3D0"/>
            <w:noWrap/>
            <w:vAlign w:val="bottom"/>
            <w:hideMark/>
          </w:tcPr>
          <w:p w14:paraId="5B92EF20" w14:textId="19645DC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418" w:type="dxa"/>
            <w:tcBorders>
              <w:top w:val="nil"/>
              <w:left w:val="nil"/>
              <w:bottom w:val="nil"/>
              <w:right w:val="nil"/>
            </w:tcBorders>
            <w:shd w:val="clear" w:color="000000" w:fill="FBE2D5"/>
            <w:noWrap/>
            <w:vAlign w:val="bottom"/>
            <w:hideMark/>
          </w:tcPr>
          <w:p w14:paraId="2EEC8308" w14:textId="34B40589"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75%</w:t>
            </w:r>
          </w:p>
        </w:tc>
        <w:tc>
          <w:tcPr>
            <w:tcW w:w="283" w:type="dxa"/>
            <w:tcBorders>
              <w:top w:val="nil"/>
              <w:left w:val="nil"/>
              <w:bottom w:val="nil"/>
            </w:tcBorders>
            <w:noWrap/>
            <w:vAlign w:val="bottom"/>
            <w:hideMark/>
          </w:tcPr>
          <w:p w14:paraId="426B8CAB" w14:textId="79452BF0"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noWrap/>
            <w:vAlign w:val="bottom"/>
            <w:hideMark/>
          </w:tcPr>
          <w:p w14:paraId="33004FE4" w14:textId="1B6FA52B"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028" w:type="dxa"/>
            <w:noWrap/>
            <w:vAlign w:val="bottom"/>
            <w:hideMark/>
          </w:tcPr>
          <w:p w14:paraId="2E05BA84" w14:textId="5B0DCDFA"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049" w:type="dxa"/>
            <w:noWrap/>
            <w:vAlign w:val="bottom"/>
            <w:hideMark/>
          </w:tcPr>
          <w:p w14:paraId="2CD127E1" w14:textId="1776134F"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0.5</w:t>
            </w:r>
          </w:p>
        </w:tc>
        <w:tc>
          <w:tcPr>
            <w:tcW w:w="1275" w:type="dxa"/>
            <w:noWrap/>
            <w:vAlign w:val="bottom"/>
            <w:hideMark/>
          </w:tcPr>
          <w:p w14:paraId="6EF3B8FA" w14:textId="5CAE5796"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32220E9F" w14:textId="77777777" w:rsidTr="005B412F">
        <w:trPr>
          <w:gridAfter w:val="1"/>
          <w:wAfter w:w="3680" w:type="dxa"/>
          <w:trHeight w:val="306"/>
        </w:trPr>
        <w:tc>
          <w:tcPr>
            <w:tcW w:w="1331" w:type="dxa"/>
            <w:tcBorders>
              <w:top w:val="nil"/>
              <w:left w:val="nil"/>
              <w:bottom w:val="single" w:sz="4" w:space="0" w:color="auto"/>
              <w:right w:val="nil"/>
            </w:tcBorders>
            <w:noWrap/>
            <w:vAlign w:val="bottom"/>
            <w:hideMark/>
          </w:tcPr>
          <w:p w14:paraId="4EA50679"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NAT</w:t>
            </w:r>
          </w:p>
        </w:tc>
        <w:tc>
          <w:tcPr>
            <w:tcW w:w="1504" w:type="dxa"/>
            <w:tcBorders>
              <w:top w:val="nil"/>
              <w:left w:val="nil"/>
              <w:bottom w:val="single" w:sz="4" w:space="0" w:color="auto"/>
              <w:right w:val="nil"/>
            </w:tcBorders>
            <w:shd w:val="clear" w:color="000000" w:fill="DAF2D0"/>
            <w:noWrap/>
            <w:vAlign w:val="bottom"/>
            <w:hideMark/>
          </w:tcPr>
          <w:p w14:paraId="2BF64080" w14:textId="1C41C1FF"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1418" w:type="dxa"/>
            <w:tcBorders>
              <w:top w:val="nil"/>
              <w:left w:val="nil"/>
              <w:bottom w:val="single" w:sz="4" w:space="0" w:color="auto"/>
              <w:right w:val="nil"/>
            </w:tcBorders>
            <w:shd w:val="clear" w:color="000000" w:fill="DAF2D0"/>
            <w:noWrap/>
            <w:vAlign w:val="bottom"/>
            <w:hideMark/>
          </w:tcPr>
          <w:p w14:paraId="21154199" w14:textId="49E1C1BC"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100%</w:t>
            </w:r>
          </w:p>
        </w:tc>
        <w:tc>
          <w:tcPr>
            <w:tcW w:w="283" w:type="dxa"/>
            <w:tcBorders>
              <w:top w:val="nil"/>
              <w:left w:val="nil"/>
              <w:bottom w:val="single" w:sz="4" w:space="0" w:color="auto"/>
            </w:tcBorders>
            <w:noWrap/>
            <w:vAlign w:val="bottom"/>
            <w:hideMark/>
          </w:tcPr>
          <w:p w14:paraId="47824EEB" w14:textId="74D22C20"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tcBorders>
              <w:bottom w:val="single" w:sz="4" w:space="0" w:color="auto"/>
            </w:tcBorders>
            <w:noWrap/>
            <w:vAlign w:val="bottom"/>
            <w:hideMark/>
          </w:tcPr>
          <w:p w14:paraId="6D1A5A05" w14:textId="49E19D62"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w:t>
            </w:r>
          </w:p>
        </w:tc>
        <w:tc>
          <w:tcPr>
            <w:tcW w:w="1028" w:type="dxa"/>
            <w:tcBorders>
              <w:bottom w:val="single" w:sz="4" w:space="0" w:color="auto"/>
            </w:tcBorders>
            <w:noWrap/>
            <w:vAlign w:val="bottom"/>
            <w:hideMark/>
          </w:tcPr>
          <w:p w14:paraId="26FC6B0D" w14:textId="41D7DB55"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w:t>
            </w:r>
          </w:p>
        </w:tc>
        <w:tc>
          <w:tcPr>
            <w:tcW w:w="1049" w:type="dxa"/>
            <w:tcBorders>
              <w:bottom w:val="single" w:sz="4" w:space="0" w:color="auto"/>
            </w:tcBorders>
            <w:noWrap/>
            <w:vAlign w:val="bottom"/>
            <w:hideMark/>
          </w:tcPr>
          <w:p w14:paraId="3CA3A7AA" w14:textId="351287CF"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3</w:t>
            </w:r>
          </w:p>
        </w:tc>
        <w:tc>
          <w:tcPr>
            <w:tcW w:w="1275" w:type="dxa"/>
            <w:tcBorders>
              <w:bottom w:val="single" w:sz="4" w:space="0" w:color="auto"/>
            </w:tcBorders>
            <w:noWrap/>
            <w:vAlign w:val="bottom"/>
            <w:hideMark/>
          </w:tcPr>
          <w:p w14:paraId="6D640BB5" w14:textId="0D04EDB1" w:rsidR="00B2438D" w:rsidRPr="000F5C6F" w:rsidRDefault="00B2438D" w:rsidP="000F5C6F">
            <w:pPr>
              <w:spacing w:line="240" w:lineRule="auto"/>
              <w:jc w:val="both"/>
              <w:rPr>
                <w:rFonts w:ascii="Times New Roman" w:eastAsia="Times New Roman" w:hAnsi="Times New Roman" w:cs="Times New Roman"/>
                <w:color w:val="FF0000"/>
                <w:lang w:val="en-AU"/>
              </w:rPr>
            </w:pPr>
            <w:r w:rsidRPr="000F5C6F">
              <w:rPr>
                <w:rFonts w:ascii="Times New Roman" w:eastAsia="Times New Roman" w:hAnsi="Times New Roman" w:cs="Times New Roman"/>
                <w:color w:val="FF0000"/>
                <w:lang w:val="en-AU"/>
              </w:rPr>
              <w:t>0</w:t>
            </w:r>
          </w:p>
        </w:tc>
      </w:tr>
      <w:tr w:rsidR="00B2438D" w:rsidRPr="000F5C6F" w14:paraId="05336A8F" w14:textId="77777777" w:rsidTr="005B412F">
        <w:trPr>
          <w:gridAfter w:val="1"/>
          <w:wAfter w:w="3680" w:type="dxa"/>
          <w:trHeight w:val="306"/>
        </w:trPr>
        <w:tc>
          <w:tcPr>
            <w:tcW w:w="1331" w:type="dxa"/>
            <w:tcBorders>
              <w:top w:val="single" w:sz="4" w:space="0" w:color="auto"/>
              <w:left w:val="nil"/>
              <w:bottom w:val="single" w:sz="4" w:space="0" w:color="auto"/>
            </w:tcBorders>
            <w:noWrap/>
            <w:vAlign w:val="bottom"/>
            <w:hideMark/>
          </w:tcPr>
          <w:p w14:paraId="5F97CAF1"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TOTAL</w:t>
            </w:r>
          </w:p>
        </w:tc>
        <w:tc>
          <w:tcPr>
            <w:tcW w:w="1504" w:type="dxa"/>
            <w:tcBorders>
              <w:top w:val="single" w:sz="4" w:space="0" w:color="auto"/>
              <w:bottom w:val="single" w:sz="4" w:space="0" w:color="auto"/>
            </w:tcBorders>
            <w:noWrap/>
            <w:vAlign w:val="bottom"/>
            <w:hideMark/>
          </w:tcPr>
          <w:p w14:paraId="5D516FF1"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72%</w:t>
            </w:r>
          </w:p>
        </w:tc>
        <w:tc>
          <w:tcPr>
            <w:tcW w:w="1418" w:type="dxa"/>
            <w:tcBorders>
              <w:top w:val="single" w:sz="4" w:space="0" w:color="auto"/>
              <w:bottom w:val="single" w:sz="4" w:space="0" w:color="auto"/>
            </w:tcBorders>
            <w:noWrap/>
            <w:vAlign w:val="bottom"/>
            <w:hideMark/>
          </w:tcPr>
          <w:p w14:paraId="18405C13"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69%</w:t>
            </w:r>
          </w:p>
        </w:tc>
        <w:tc>
          <w:tcPr>
            <w:tcW w:w="283" w:type="dxa"/>
            <w:tcBorders>
              <w:top w:val="single" w:sz="4" w:space="0" w:color="auto"/>
              <w:bottom w:val="single" w:sz="4" w:space="0" w:color="auto"/>
            </w:tcBorders>
            <w:noWrap/>
            <w:vAlign w:val="bottom"/>
            <w:hideMark/>
          </w:tcPr>
          <w:p w14:paraId="7819117A" w14:textId="432C151E" w:rsidR="00B2438D" w:rsidRPr="000F5C6F" w:rsidRDefault="00B2438D" w:rsidP="000F5C6F">
            <w:pPr>
              <w:spacing w:line="240" w:lineRule="auto"/>
              <w:jc w:val="both"/>
              <w:rPr>
                <w:rFonts w:ascii="Times New Roman" w:eastAsia="Times New Roman" w:hAnsi="Times New Roman" w:cs="Times New Roman"/>
                <w:color w:val="000000"/>
                <w:lang w:val="en-AU"/>
              </w:rPr>
            </w:pPr>
          </w:p>
        </w:tc>
        <w:tc>
          <w:tcPr>
            <w:tcW w:w="1184" w:type="dxa"/>
            <w:tcBorders>
              <w:top w:val="single" w:sz="4" w:space="0" w:color="auto"/>
              <w:bottom w:val="single" w:sz="4" w:space="0" w:color="auto"/>
            </w:tcBorders>
            <w:noWrap/>
            <w:vAlign w:val="bottom"/>
            <w:hideMark/>
          </w:tcPr>
          <w:p w14:paraId="74C06795"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24</w:t>
            </w:r>
          </w:p>
        </w:tc>
        <w:tc>
          <w:tcPr>
            <w:tcW w:w="1028" w:type="dxa"/>
            <w:tcBorders>
              <w:top w:val="single" w:sz="4" w:space="0" w:color="auto"/>
              <w:bottom w:val="single" w:sz="4" w:space="0" w:color="auto"/>
            </w:tcBorders>
            <w:noWrap/>
            <w:vAlign w:val="bottom"/>
            <w:hideMark/>
          </w:tcPr>
          <w:p w14:paraId="1452BF7C"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19</w:t>
            </w:r>
          </w:p>
        </w:tc>
        <w:tc>
          <w:tcPr>
            <w:tcW w:w="1049" w:type="dxa"/>
            <w:tcBorders>
              <w:top w:val="single" w:sz="4" w:space="0" w:color="auto"/>
              <w:bottom w:val="single" w:sz="4" w:space="0" w:color="auto"/>
            </w:tcBorders>
            <w:noWrap/>
            <w:vAlign w:val="bottom"/>
            <w:hideMark/>
          </w:tcPr>
          <w:p w14:paraId="4588B15E"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14</w:t>
            </w:r>
          </w:p>
        </w:tc>
        <w:tc>
          <w:tcPr>
            <w:tcW w:w="1275" w:type="dxa"/>
            <w:tcBorders>
              <w:top w:val="single" w:sz="4" w:space="0" w:color="auto"/>
              <w:bottom w:val="single" w:sz="4" w:space="0" w:color="auto"/>
            </w:tcBorders>
            <w:noWrap/>
            <w:vAlign w:val="bottom"/>
            <w:hideMark/>
          </w:tcPr>
          <w:p w14:paraId="28093B44" w14:textId="77777777" w:rsidR="00B2438D" w:rsidRPr="000F5C6F" w:rsidRDefault="00B2438D" w:rsidP="000F5C6F">
            <w:pPr>
              <w:spacing w:line="240" w:lineRule="auto"/>
              <w:jc w:val="both"/>
              <w:rPr>
                <w:rFonts w:ascii="Times New Roman" w:eastAsia="Times New Roman" w:hAnsi="Times New Roman" w:cs="Times New Roman"/>
                <w:color w:val="000000"/>
                <w:lang w:val="en-AU"/>
              </w:rPr>
            </w:pPr>
            <w:r w:rsidRPr="000F5C6F">
              <w:rPr>
                <w:rFonts w:ascii="Times New Roman" w:eastAsia="Times New Roman" w:hAnsi="Times New Roman" w:cs="Times New Roman"/>
                <w:color w:val="000000"/>
                <w:lang w:val="en-AU"/>
              </w:rPr>
              <w:t>4</w:t>
            </w:r>
          </w:p>
        </w:tc>
      </w:tr>
    </w:tbl>
    <w:p w14:paraId="2A7BB061" w14:textId="3E250885" w:rsidR="00A36139" w:rsidRPr="000F5C6F" w:rsidRDefault="005D2FDE" w:rsidP="000F5C6F">
      <w:pPr>
        <w:spacing w:before="240" w:after="240" w:line="240" w:lineRule="auto"/>
        <w:ind w:left="720"/>
        <w:jc w:val="both"/>
        <w:rPr>
          <w:rFonts w:ascii="Times New Roman" w:hAnsi="Times New Roman" w:cs="Times New Roman"/>
        </w:rPr>
      </w:pPr>
      <w:r w:rsidRPr="000F5C6F">
        <w:rPr>
          <w:rFonts w:ascii="Times New Roman" w:hAnsi="Times New Roman" w:cs="Times New Roman"/>
        </w:rPr>
        <w:t>In secondary postgraduate, ITE programs rely on students coming with teaching area preparation from prior degrees, but the ACT, Tasmania and many program</w:t>
      </w:r>
      <w:r w:rsidR="00F73CDF">
        <w:rPr>
          <w:rFonts w:ascii="Times New Roman" w:hAnsi="Times New Roman" w:cs="Times New Roman"/>
        </w:rPr>
        <w:t>me</w:t>
      </w:r>
      <w:r w:rsidRPr="000F5C6F">
        <w:rPr>
          <w:rFonts w:ascii="Times New Roman" w:hAnsi="Times New Roman" w:cs="Times New Roman"/>
        </w:rPr>
        <w:t>s in NSW, QLD and SA still do not provide opportunities to become teachers of technologies subjects (Table 5).</w:t>
      </w:r>
    </w:p>
    <w:p w14:paraId="110C3275" w14:textId="77777777" w:rsidR="00536354" w:rsidRPr="00573411" w:rsidRDefault="003E0637" w:rsidP="00536354">
      <w:pPr>
        <w:numPr>
          <w:ilvl w:val="0"/>
          <w:numId w:val="3"/>
        </w:numPr>
        <w:spacing w:before="240" w:after="240" w:line="240" w:lineRule="auto"/>
        <w:ind w:left="426" w:hanging="426"/>
        <w:rPr>
          <w:rFonts w:ascii="Times New Roman" w:hAnsi="Times New Roman" w:cs="Times New Roman"/>
          <w:b/>
          <w:bCs/>
        </w:rPr>
      </w:pPr>
      <w:r w:rsidRPr="00573411">
        <w:rPr>
          <w:rFonts w:ascii="Times New Roman" w:hAnsi="Times New Roman" w:cs="Times New Roman"/>
          <w:b/>
          <w:bCs/>
        </w:rPr>
        <w:t>Impact of the ITE Accreditation Cycle:</w:t>
      </w:r>
    </w:p>
    <w:p w14:paraId="10E0B00F" w14:textId="77777777" w:rsidR="00F73CDF" w:rsidRPr="00F73CDF" w:rsidRDefault="00F73CDF" w:rsidP="00F73CDF">
      <w:pPr>
        <w:spacing w:before="240" w:after="480" w:line="240" w:lineRule="auto"/>
        <w:ind w:left="426"/>
        <w:jc w:val="both"/>
        <w:rPr>
          <w:rFonts w:ascii="Times New Roman" w:hAnsi="Times New Roman" w:cs="Times New Roman"/>
        </w:rPr>
      </w:pPr>
      <w:bookmarkStart w:id="17" w:name="_knd80ydauwj4" w:colFirst="0" w:colLast="0"/>
      <w:bookmarkEnd w:id="17"/>
      <w:r w:rsidRPr="00F73CDF">
        <w:rPr>
          <w:rFonts w:ascii="Times New Roman" w:hAnsi="Times New Roman" w:cs="Times New Roman"/>
        </w:rPr>
        <w:t xml:space="preserve">The reasons for this wide variation in ITE programmes vary, but ITE programme accreditation, nationally coordinated by AITSL, was intended to address these issues. Unfortunately, many technologies ITE courses include dated content, with very few mentioning computational thinking, </w:t>
      </w:r>
      <w:r w:rsidRPr="00F73CDF">
        <w:rPr>
          <w:rFonts w:ascii="Times New Roman" w:hAnsi="Times New Roman" w:cs="Times New Roman"/>
        </w:rPr>
        <w:lastRenderedPageBreak/>
        <w:t xml:space="preserve">artificial intelligence and advanced manufacturing techniques, and no ITE programmes exploring emerging technologies such as quantum computing and additive manufacturing. The five-year ITE accreditation cycle is a barrier to adapting to rapidly advancing technological developments. Revisions to address technological changes missed during an accreditation cycle can result in a delay of at least five years in addressing ITE needs. This has impacted the incorporation of </w:t>
      </w:r>
      <w:r w:rsidRPr="00F73CDF">
        <w:rPr>
          <w:rFonts w:ascii="Times New Roman" w:hAnsi="Times New Roman" w:cs="Times New Roman"/>
          <w:i/>
        </w:rPr>
        <w:t>Digital Technologies</w:t>
      </w:r>
      <w:r w:rsidRPr="00F73CDF">
        <w:rPr>
          <w:rFonts w:ascii="Times New Roman" w:hAnsi="Times New Roman" w:cs="Times New Roman"/>
        </w:rPr>
        <w:t xml:space="preserve"> over the last ten years and will likely hinder the integration of other advancements such as AI, additive manufacturing, and quantum computing. With the current AITSL focus on other agendas (AITSL, 2023), there is a strong likelihood that another opportunity will be missed in this accreditation cycle, resulting in an ever-increasing gap in addressing many issues, such as computational thinking and advances in manufacturing technologies.</w:t>
      </w:r>
    </w:p>
    <w:p w14:paraId="7CD85D48" w14:textId="6F3785A6" w:rsidR="007567A6" w:rsidRPr="00536354" w:rsidRDefault="003E0637" w:rsidP="00573411">
      <w:pPr>
        <w:spacing w:before="120" w:after="240" w:line="259" w:lineRule="auto"/>
        <w:rPr>
          <w:rFonts w:ascii="Helvetica" w:eastAsiaTheme="minorHAnsi" w:hAnsi="Helvetica" w:cstheme="minorBidi"/>
          <w:b/>
          <w:bCs/>
          <w:kern w:val="2"/>
          <w:sz w:val="28"/>
          <w:szCs w:val="28"/>
          <w:lang w:val="en-AU" w:eastAsia="en-US"/>
          <w14:ligatures w14:val="standardContextual"/>
        </w:rPr>
      </w:pPr>
      <w:r w:rsidRPr="00536354">
        <w:rPr>
          <w:rFonts w:ascii="Helvetica" w:eastAsiaTheme="minorHAnsi" w:hAnsi="Helvetica" w:cstheme="minorBidi"/>
          <w:b/>
          <w:bCs/>
          <w:kern w:val="2"/>
          <w:sz w:val="28"/>
          <w:szCs w:val="28"/>
          <w:lang w:val="en-AU" w:eastAsia="en-US"/>
          <w14:ligatures w14:val="standardContextual"/>
        </w:rPr>
        <w:t>Analysis</w:t>
      </w:r>
    </w:p>
    <w:p w14:paraId="59EDB2BB" w14:textId="77777777" w:rsidR="00F73CDF" w:rsidRPr="000F5C6F" w:rsidRDefault="00F73CDF" w:rsidP="00F73CDF">
      <w:pPr>
        <w:spacing w:after="240" w:line="240" w:lineRule="auto"/>
        <w:jc w:val="both"/>
        <w:rPr>
          <w:rFonts w:ascii="Times New Roman" w:hAnsi="Times New Roman" w:cs="Times New Roman"/>
        </w:rPr>
      </w:pPr>
      <w:bookmarkStart w:id="18" w:name="_b456zibzmv3b" w:colFirst="0" w:colLast="0"/>
      <w:bookmarkEnd w:id="18"/>
      <w:r w:rsidRPr="000F5C6F">
        <w:rPr>
          <w:rFonts w:ascii="Times New Roman" w:hAnsi="Times New Roman" w:cs="Times New Roman"/>
        </w:rPr>
        <w:t>The study’s findings highlight critical issues in the preparation of future teachers to deliver the Technologies Curriculum, both at the primary and secondary levels. These gaps are driven by several key factors:</w:t>
      </w:r>
    </w:p>
    <w:p w14:paraId="0EEE87AE" w14:textId="77777777" w:rsidR="00F73CDF" w:rsidRPr="000F5C6F" w:rsidRDefault="00F73CDF" w:rsidP="00F73CDF">
      <w:pPr>
        <w:numPr>
          <w:ilvl w:val="0"/>
          <w:numId w:val="4"/>
        </w:numPr>
        <w:spacing w:before="240" w:after="120" w:line="240" w:lineRule="auto"/>
        <w:jc w:val="both"/>
        <w:rPr>
          <w:rFonts w:ascii="Times New Roman" w:hAnsi="Times New Roman" w:cs="Times New Roman"/>
        </w:rPr>
      </w:pPr>
      <w:r w:rsidRPr="000F5C6F">
        <w:rPr>
          <w:rFonts w:ascii="Times New Roman" w:hAnsi="Times New Roman" w:cs="Times New Roman"/>
        </w:rPr>
        <w:t xml:space="preserve"> Many ITE program</w:t>
      </w:r>
      <w:r>
        <w:rPr>
          <w:rFonts w:ascii="Times New Roman" w:hAnsi="Times New Roman" w:cs="Times New Roman"/>
        </w:rPr>
        <w:t>me</w:t>
      </w:r>
      <w:r w:rsidRPr="000F5C6F">
        <w:rPr>
          <w:rFonts w:ascii="Times New Roman" w:hAnsi="Times New Roman" w:cs="Times New Roman"/>
        </w:rPr>
        <w:t xml:space="preserve">s have limited preparation for teaching technologies in primary schools, mainly Digital Technologies, and many </w:t>
      </w:r>
      <w:r>
        <w:rPr>
          <w:rFonts w:ascii="Times New Roman" w:hAnsi="Times New Roman" w:cs="Times New Roman"/>
        </w:rPr>
        <w:t xml:space="preserve">programmes </w:t>
      </w:r>
      <w:r w:rsidRPr="000F5C6F">
        <w:rPr>
          <w:rFonts w:ascii="Times New Roman" w:hAnsi="Times New Roman" w:cs="Times New Roman"/>
        </w:rPr>
        <w:t>offer limited opportunities to be prepared to teach technologies subjects in senior secondary, particularly more traditional technologies. Most notably, Tasmania has no domestic senior secondary pathway to become a teacher of technologies subjects.</w:t>
      </w:r>
    </w:p>
    <w:p w14:paraId="6FD7C638" w14:textId="77777777" w:rsidR="00F73CDF" w:rsidRDefault="00F73CDF" w:rsidP="00F73CDF">
      <w:pPr>
        <w:numPr>
          <w:ilvl w:val="0"/>
          <w:numId w:val="4"/>
        </w:numPr>
        <w:spacing w:line="240" w:lineRule="auto"/>
        <w:jc w:val="both"/>
        <w:rPr>
          <w:rFonts w:ascii="Times New Roman" w:hAnsi="Times New Roman" w:cs="Times New Roman"/>
        </w:rPr>
      </w:pPr>
      <w:r w:rsidRPr="000F5C6F">
        <w:rPr>
          <w:rFonts w:ascii="Times New Roman" w:hAnsi="Times New Roman" w:cs="Times New Roman"/>
        </w:rPr>
        <w:t>Accreditation Cycle and Curriculum Inflexibility:</w:t>
      </w:r>
    </w:p>
    <w:p w14:paraId="43DC5265" w14:textId="77777777" w:rsidR="00F73CDF" w:rsidRPr="000F5C6F" w:rsidRDefault="00F73CDF" w:rsidP="00F73CDF">
      <w:pPr>
        <w:spacing w:after="120" w:line="240" w:lineRule="auto"/>
        <w:ind w:left="720"/>
        <w:jc w:val="both"/>
        <w:rPr>
          <w:rFonts w:ascii="Times New Roman" w:hAnsi="Times New Roman" w:cs="Times New Roman"/>
        </w:rPr>
      </w:pPr>
      <w:r w:rsidRPr="000F5C6F">
        <w:rPr>
          <w:rFonts w:ascii="Times New Roman" w:hAnsi="Times New Roman" w:cs="Times New Roman"/>
        </w:rPr>
        <w:t>The five-year accreditation process hinders ITE program</w:t>
      </w:r>
      <w:r>
        <w:rPr>
          <w:rFonts w:ascii="Times New Roman" w:hAnsi="Times New Roman" w:cs="Times New Roman"/>
        </w:rPr>
        <w:t>me</w:t>
      </w:r>
      <w:r w:rsidRPr="000F5C6F">
        <w:rPr>
          <w:rFonts w:ascii="Times New Roman" w:hAnsi="Times New Roman" w:cs="Times New Roman"/>
        </w:rPr>
        <w:t>s from responding promptly to technological changes. Given the rapid pace of technological innovation and its impact on technologies education, the accreditation process needs to be more adaptable to ensure that teachers are not left behind in developing essential skills like AI literacy, advances in manufacturing, and computational thinking.</w:t>
      </w:r>
    </w:p>
    <w:p w14:paraId="7651D6DD" w14:textId="77777777" w:rsidR="00F73CDF" w:rsidRDefault="00F73CDF" w:rsidP="00F73CDF">
      <w:pPr>
        <w:numPr>
          <w:ilvl w:val="0"/>
          <w:numId w:val="4"/>
        </w:numPr>
        <w:spacing w:line="240" w:lineRule="auto"/>
        <w:jc w:val="both"/>
        <w:rPr>
          <w:rFonts w:ascii="Times New Roman" w:hAnsi="Times New Roman" w:cs="Times New Roman"/>
        </w:rPr>
      </w:pPr>
      <w:r w:rsidRPr="000F5C6F">
        <w:rPr>
          <w:rFonts w:ascii="Times New Roman" w:hAnsi="Times New Roman" w:cs="Times New Roman"/>
        </w:rPr>
        <w:t>Mismatch Between Advocacy and Practice</w:t>
      </w:r>
      <w:r>
        <w:rPr>
          <w:rFonts w:ascii="Times New Roman" w:hAnsi="Times New Roman" w:cs="Times New Roman"/>
        </w:rPr>
        <w:t>:</w:t>
      </w:r>
    </w:p>
    <w:p w14:paraId="3CACC4E3" w14:textId="77777777" w:rsidR="00F73CDF" w:rsidRPr="00536354" w:rsidRDefault="00F73CDF" w:rsidP="00F73CDF">
      <w:pPr>
        <w:spacing w:after="120" w:line="240" w:lineRule="auto"/>
        <w:ind w:left="720"/>
        <w:jc w:val="both"/>
        <w:rPr>
          <w:rFonts w:ascii="Times New Roman" w:hAnsi="Times New Roman" w:cs="Times New Roman"/>
        </w:rPr>
      </w:pPr>
      <w:r w:rsidRPr="00536354">
        <w:rPr>
          <w:rFonts w:ascii="Times New Roman" w:hAnsi="Times New Roman" w:cs="Times New Roman"/>
        </w:rPr>
        <w:t>While many ITE academics champion technologies education in their research and policy development, this advocacy is not always reflected in the courses they teach or hold some responsibility for in their institutions. Constraints on curriculum design and resource allocation often prevent ITE program</w:t>
      </w:r>
      <w:r>
        <w:rPr>
          <w:rFonts w:ascii="Times New Roman" w:hAnsi="Times New Roman" w:cs="Times New Roman"/>
        </w:rPr>
        <w:t>me</w:t>
      </w:r>
      <w:r w:rsidRPr="00536354">
        <w:rPr>
          <w:rFonts w:ascii="Times New Roman" w:hAnsi="Times New Roman" w:cs="Times New Roman"/>
        </w:rPr>
        <w:t xml:space="preserve">s from aligning with the Technologies Learning Area of the Australian Curriculum and </w:t>
      </w:r>
      <w:r>
        <w:rPr>
          <w:rFonts w:ascii="Times New Roman" w:hAnsi="Times New Roman" w:cs="Times New Roman"/>
        </w:rPr>
        <w:t xml:space="preserve">with </w:t>
      </w:r>
      <w:r w:rsidRPr="00536354">
        <w:rPr>
          <w:rFonts w:ascii="Times New Roman" w:hAnsi="Times New Roman" w:cs="Times New Roman"/>
        </w:rPr>
        <w:t xml:space="preserve">changes occurring in technologies subjects offered in schools. This gap between rhetoric and practice is particularly evident in the inconsistent teaching of </w:t>
      </w:r>
      <w:r w:rsidRPr="00536354">
        <w:rPr>
          <w:rFonts w:ascii="Times New Roman" w:hAnsi="Times New Roman" w:cs="Times New Roman"/>
          <w:i/>
        </w:rPr>
        <w:t>Digital Technologies</w:t>
      </w:r>
      <w:r w:rsidRPr="00536354">
        <w:rPr>
          <w:rFonts w:ascii="Times New Roman" w:hAnsi="Times New Roman" w:cs="Times New Roman"/>
        </w:rPr>
        <w:t xml:space="preserve"> across states.</w:t>
      </w:r>
    </w:p>
    <w:p w14:paraId="4B0A01D2" w14:textId="77777777" w:rsidR="00F73CDF" w:rsidRDefault="00F73CDF" w:rsidP="00F73CDF">
      <w:pPr>
        <w:numPr>
          <w:ilvl w:val="0"/>
          <w:numId w:val="4"/>
        </w:numPr>
        <w:spacing w:line="240" w:lineRule="auto"/>
        <w:jc w:val="both"/>
        <w:rPr>
          <w:rFonts w:ascii="Times New Roman" w:hAnsi="Times New Roman" w:cs="Times New Roman"/>
        </w:rPr>
      </w:pPr>
      <w:r w:rsidRPr="000F5C6F">
        <w:rPr>
          <w:rFonts w:ascii="Times New Roman" w:hAnsi="Times New Roman" w:cs="Times New Roman"/>
        </w:rPr>
        <w:t>State-Based Disparities in Teacher Preparation:</w:t>
      </w:r>
    </w:p>
    <w:p w14:paraId="59F4A875" w14:textId="77777777" w:rsidR="00F73CDF" w:rsidRPr="00536354" w:rsidRDefault="00F73CDF" w:rsidP="00F73CDF">
      <w:pPr>
        <w:spacing w:after="360" w:line="240" w:lineRule="auto"/>
        <w:ind w:left="720"/>
        <w:jc w:val="both"/>
        <w:rPr>
          <w:rFonts w:ascii="Times New Roman" w:hAnsi="Times New Roman" w:cs="Times New Roman"/>
        </w:rPr>
      </w:pPr>
      <w:r w:rsidRPr="00536354">
        <w:rPr>
          <w:rFonts w:ascii="Times New Roman" w:hAnsi="Times New Roman" w:cs="Times New Roman"/>
        </w:rPr>
        <w:t xml:space="preserve">Certain states and territories lag significantly in preparing teachers for technologies education, with limited pathways for both primary and secondary teachers. This geographical inequality exacerbates the challenges schools in these regions face when trying to implement the </w:t>
      </w:r>
      <w:r w:rsidRPr="00536354">
        <w:rPr>
          <w:rFonts w:ascii="Times New Roman" w:hAnsi="Times New Roman" w:cs="Times New Roman"/>
          <w:i/>
        </w:rPr>
        <w:t>Technologies Curriculum</w:t>
      </w:r>
      <w:r w:rsidRPr="00536354">
        <w:rPr>
          <w:rFonts w:ascii="Times New Roman" w:hAnsi="Times New Roman" w:cs="Times New Roman"/>
        </w:rPr>
        <w:t>, contributing to a national imbalance in the quality of technologies instruction.</w:t>
      </w:r>
    </w:p>
    <w:p w14:paraId="4666F6E3" w14:textId="3C1DFF7F" w:rsidR="007567A6" w:rsidRPr="00536354" w:rsidRDefault="003E0637" w:rsidP="00536354">
      <w:pPr>
        <w:spacing w:before="120" w:after="240" w:line="259" w:lineRule="auto"/>
        <w:rPr>
          <w:rFonts w:ascii="Helvetica" w:eastAsiaTheme="minorHAnsi" w:hAnsi="Helvetica" w:cstheme="minorBidi"/>
          <w:b/>
          <w:bCs/>
          <w:kern w:val="2"/>
          <w:sz w:val="28"/>
          <w:szCs w:val="28"/>
          <w:lang w:val="en-AU" w:eastAsia="en-US"/>
          <w14:ligatures w14:val="standardContextual"/>
        </w:rPr>
      </w:pPr>
      <w:r w:rsidRPr="00536354">
        <w:rPr>
          <w:rFonts w:ascii="Helvetica" w:eastAsiaTheme="minorHAnsi" w:hAnsi="Helvetica" w:cstheme="minorBidi"/>
          <w:b/>
          <w:bCs/>
          <w:kern w:val="2"/>
          <w:sz w:val="28"/>
          <w:szCs w:val="28"/>
          <w:lang w:val="en-AU" w:eastAsia="en-US"/>
          <w14:ligatures w14:val="standardContextual"/>
        </w:rPr>
        <w:t>Recommendations</w:t>
      </w:r>
    </w:p>
    <w:p w14:paraId="16939D7D" w14:textId="77777777" w:rsidR="00F73CDF" w:rsidRPr="000F5C6F" w:rsidRDefault="00F73CDF" w:rsidP="00F73CDF">
      <w:pPr>
        <w:spacing w:before="240" w:after="240" w:line="240" w:lineRule="auto"/>
        <w:jc w:val="both"/>
        <w:rPr>
          <w:rFonts w:ascii="Times New Roman" w:hAnsi="Times New Roman" w:cs="Times New Roman"/>
        </w:rPr>
      </w:pPr>
      <w:bookmarkStart w:id="19" w:name="_qset45alm1cs" w:colFirst="0" w:colLast="0"/>
      <w:bookmarkEnd w:id="19"/>
      <w:r w:rsidRPr="000F5C6F">
        <w:rPr>
          <w:rFonts w:ascii="Times New Roman" w:hAnsi="Times New Roman" w:cs="Times New Roman"/>
        </w:rPr>
        <w:t>Based on the findings and analysis, the following recommendations are made to address the deficiencies identified in technologies education within Australian ITE program</w:t>
      </w:r>
      <w:r>
        <w:rPr>
          <w:rFonts w:ascii="Times New Roman" w:hAnsi="Times New Roman" w:cs="Times New Roman"/>
        </w:rPr>
        <w:t>me</w:t>
      </w:r>
      <w:r w:rsidRPr="000F5C6F">
        <w:rPr>
          <w:rFonts w:ascii="Times New Roman" w:hAnsi="Times New Roman" w:cs="Times New Roman"/>
        </w:rPr>
        <w:t>s:</w:t>
      </w:r>
    </w:p>
    <w:p w14:paraId="380D8A18" w14:textId="77777777" w:rsidR="00F73CDF" w:rsidRDefault="00F73CDF" w:rsidP="00F73CDF">
      <w:pPr>
        <w:numPr>
          <w:ilvl w:val="0"/>
          <w:numId w:val="7"/>
        </w:numPr>
        <w:spacing w:before="240" w:line="240" w:lineRule="auto"/>
        <w:jc w:val="both"/>
        <w:rPr>
          <w:rFonts w:ascii="Times New Roman" w:hAnsi="Times New Roman" w:cs="Times New Roman"/>
        </w:rPr>
      </w:pPr>
      <w:r w:rsidRPr="000F5C6F">
        <w:rPr>
          <w:rFonts w:ascii="Times New Roman" w:hAnsi="Times New Roman" w:cs="Times New Roman"/>
        </w:rPr>
        <w:t>Collegial Improvement Cycles:</w:t>
      </w:r>
    </w:p>
    <w:p w14:paraId="7A7791B5" w14:textId="77777777" w:rsidR="00F73CDF" w:rsidRPr="000F5C6F" w:rsidRDefault="00F73CDF" w:rsidP="00F73CDF">
      <w:pPr>
        <w:spacing w:after="120" w:line="240" w:lineRule="auto"/>
        <w:ind w:left="709"/>
        <w:jc w:val="both"/>
        <w:rPr>
          <w:rFonts w:ascii="Times New Roman" w:hAnsi="Times New Roman" w:cs="Times New Roman"/>
        </w:rPr>
      </w:pPr>
      <w:r w:rsidRPr="000F5C6F">
        <w:rPr>
          <w:rFonts w:ascii="Times New Roman" w:hAnsi="Times New Roman" w:cs="Times New Roman"/>
        </w:rPr>
        <w:t>The Australian Technologies Teacher Education Network (ATTEN) collegially supports members in improving technologies education in their program</w:t>
      </w:r>
      <w:r>
        <w:rPr>
          <w:rFonts w:ascii="Times New Roman" w:hAnsi="Times New Roman" w:cs="Times New Roman"/>
        </w:rPr>
        <w:t>me</w:t>
      </w:r>
      <w:r w:rsidRPr="000F5C6F">
        <w:rPr>
          <w:rFonts w:ascii="Times New Roman" w:hAnsi="Times New Roman" w:cs="Times New Roman"/>
        </w:rPr>
        <w:t xml:space="preserve">s, establishing national </w:t>
      </w:r>
      <w:r w:rsidRPr="000F5C6F">
        <w:rPr>
          <w:rFonts w:ascii="Times New Roman" w:hAnsi="Times New Roman" w:cs="Times New Roman"/>
        </w:rPr>
        <w:lastRenderedPageBreak/>
        <w:t>benchmarks and highlighting best practices to support members in arguing for and fostering improvements in their ITE program</w:t>
      </w:r>
      <w:r>
        <w:rPr>
          <w:rFonts w:ascii="Times New Roman" w:hAnsi="Times New Roman" w:cs="Times New Roman"/>
        </w:rPr>
        <w:t>me</w:t>
      </w:r>
      <w:r w:rsidRPr="000F5C6F">
        <w:rPr>
          <w:rFonts w:ascii="Times New Roman" w:hAnsi="Times New Roman" w:cs="Times New Roman"/>
        </w:rPr>
        <w:t>s.</w:t>
      </w:r>
    </w:p>
    <w:p w14:paraId="581DC889" w14:textId="77777777" w:rsidR="00F73CDF" w:rsidRDefault="00F73CDF" w:rsidP="00F73CDF">
      <w:pPr>
        <w:numPr>
          <w:ilvl w:val="0"/>
          <w:numId w:val="7"/>
        </w:numPr>
        <w:spacing w:line="240" w:lineRule="auto"/>
        <w:jc w:val="both"/>
        <w:rPr>
          <w:rFonts w:ascii="Times New Roman" w:hAnsi="Times New Roman" w:cs="Times New Roman"/>
        </w:rPr>
      </w:pPr>
      <w:r w:rsidRPr="000F5C6F">
        <w:rPr>
          <w:rFonts w:ascii="Times New Roman" w:hAnsi="Times New Roman" w:cs="Times New Roman"/>
        </w:rPr>
        <w:t>Update the Accreditation Cycle to Allow Flexibility:</w:t>
      </w:r>
    </w:p>
    <w:p w14:paraId="09A30C4F" w14:textId="77777777" w:rsidR="00F73CDF" w:rsidRPr="000F5C6F" w:rsidRDefault="00F73CDF" w:rsidP="00F73CDF">
      <w:pPr>
        <w:spacing w:after="120" w:line="240" w:lineRule="auto"/>
        <w:ind w:left="709"/>
        <w:jc w:val="both"/>
        <w:rPr>
          <w:rFonts w:ascii="Times New Roman" w:hAnsi="Times New Roman" w:cs="Times New Roman"/>
        </w:rPr>
      </w:pPr>
      <w:r w:rsidRPr="000F5C6F">
        <w:rPr>
          <w:rFonts w:ascii="Times New Roman" w:hAnsi="Times New Roman" w:cs="Times New Roman"/>
        </w:rPr>
        <w:t>The five-year accreditation process must support more frequent reviews and updates in response to technological advances. This flexibility would enable ITE program</w:t>
      </w:r>
      <w:r>
        <w:rPr>
          <w:rFonts w:ascii="Times New Roman" w:hAnsi="Times New Roman" w:cs="Times New Roman"/>
        </w:rPr>
        <w:t>me</w:t>
      </w:r>
      <w:r w:rsidRPr="000F5C6F">
        <w:rPr>
          <w:rFonts w:ascii="Times New Roman" w:hAnsi="Times New Roman" w:cs="Times New Roman"/>
        </w:rPr>
        <w:t>s to stay current with rapidly evolving technologies and ensure teachers are adequately prepared to meet the demands of modern educational change cycles. As with the AITSL addendum (2023), this could be achieved through targeted revisions. A process of enabling external organisations such as ATTEN to suggest and support such changes should be established.</w:t>
      </w:r>
    </w:p>
    <w:p w14:paraId="4F1BF2B0" w14:textId="77777777" w:rsidR="00F73CDF" w:rsidRDefault="00F73CDF" w:rsidP="00F73CDF">
      <w:pPr>
        <w:numPr>
          <w:ilvl w:val="0"/>
          <w:numId w:val="7"/>
        </w:numPr>
        <w:spacing w:line="240" w:lineRule="auto"/>
        <w:jc w:val="both"/>
        <w:rPr>
          <w:rFonts w:ascii="Times New Roman" w:hAnsi="Times New Roman" w:cs="Times New Roman"/>
        </w:rPr>
      </w:pPr>
      <w:r w:rsidRPr="000F5C6F">
        <w:rPr>
          <w:rFonts w:ascii="Times New Roman" w:hAnsi="Times New Roman" w:cs="Times New Roman"/>
        </w:rPr>
        <w:t>Ensure Minimum Curriculum Coverage for Technologies Education:</w:t>
      </w:r>
    </w:p>
    <w:p w14:paraId="7E3A286B" w14:textId="77777777" w:rsidR="00F73CDF" w:rsidRPr="000F5C6F" w:rsidRDefault="00F73CDF" w:rsidP="00F73CDF">
      <w:pPr>
        <w:spacing w:after="120" w:line="240" w:lineRule="auto"/>
        <w:ind w:left="709"/>
        <w:jc w:val="both"/>
        <w:rPr>
          <w:rFonts w:ascii="Times New Roman" w:hAnsi="Times New Roman" w:cs="Times New Roman"/>
        </w:rPr>
      </w:pPr>
      <w:r w:rsidRPr="000F5C6F">
        <w:rPr>
          <w:rFonts w:ascii="Times New Roman" w:hAnsi="Times New Roman" w:cs="Times New Roman"/>
        </w:rPr>
        <w:t>Through accreditation, Primary ITE program</w:t>
      </w:r>
      <w:r>
        <w:rPr>
          <w:rFonts w:ascii="Times New Roman" w:hAnsi="Times New Roman" w:cs="Times New Roman"/>
        </w:rPr>
        <w:t>me</w:t>
      </w:r>
      <w:r w:rsidRPr="000F5C6F">
        <w:rPr>
          <w:rFonts w:ascii="Times New Roman" w:hAnsi="Times New Roman" w:cs="Times New Roman"/>
        </w:rPr>
        <w:t xml:space="preserve">s should demonstrate their capacity to prepare graduates to teach the Australian Curriculum: Technologies learning area, including both </w:t>
      </w:r>
      <w:r w:rsidRPr="000F5C6F">
        <w:rPr>
          <w:rFonts w:ascii="Times New Roman" w:hAnsi="Times New Roman" w:cs="Times New Roman"/>
          <w:i/>
        </w:rPr>
        <w:t>Design and Technologies</w:t>
      </w:r>
      <w:r w:rsidRPr="000F5C6F">
        <w:rPr>
          <w:rFonts w:ascii="Times New Roman" w:hAnsi="Times New Roman" w:cs="Times New Roman"/>
        </w:rPr>
        <w:t xml:space="preserve"> and </w:t>
      </w:r>
      <w:r w:rsidRPr="000F5C6F">
        <w:rPr>
          <w:rFonts w:ascii="Times New Roman" w:hAnsi="Times New Roman" w:cs="Times New Roman"/>
          <w:i/>
        </w:rPr>
        <w:t>Digital Technologies</w:t>
      </w:r>
      <w:r w:rsidRPr="000F5C6F">
        <w:rPr>
          <w:rFonts w:ascii="Times New Roman" w:hAnsi="Times New Roman" w:cs="Times New Roman"/>
        </w:rPr>
        <w:t>. Where states or territories choose to undertake alternatives to the Australian Curriculum, ITE program</w:t>
      </w:r>
      <w:r>
        <w:rPr>
          <w:rFonts w:ascii="Times New Roman" w:hAnsi="Times New Roman" w:cs="Times New Roman"/>
        </w:rPr>
        <w:t>me</w:t>
      </w:r>
      <w:r w:rsidRPr="000F5C6F">
        <w:rPr>
          <w:rFonts w:ascii="Times New Roman" w:hAnsi="Times New Roman" w:cs="Times New Roman"/>
        </w:rPr>
        <w:t xml:space="preserve">s should demonstrate national equivalency to an accrediting body outside their state or territory. </w:t>
      </w:r>
    </w:p>
    <w:p w14:paraId="182D92F3" w14:textId="77777777" w:rsidR="00F73CDF" w:rsidRDefault="00F73CDF" w:rsidP="00F73CDF">
      <w:pPr>
        <w:numPr>
          <w:ilvl w:val="0"/>
          <w:numId w:val="7"/>
        </w:numPr>
        <w:spacing w:line="240" w:lineRule="auto"/>
        <w:jc w:val="both"/>
        <w:rPr>
          <w:rFonts w:ascii="Times New Roman" w:hAnsi="Times New Roman" w:cs="Times New Roman"/>
        </w:rPr>
      </w:pPr>
      <w:r w:rsidRPr="000F5C6F">
        <w:rPr>
          <w:rFonts w:ascii="Times New Roman" w:hAnsi="Times New Roman" w:cs="Times New Roman"/>
        </w:rPr>
        <w:t>Increase Specialisation Opportunities in Secondary Technologies:</w:t>
      </w:r>
    </w:p>
    <w:p w14:paraId="276B3458" w14:textId="77777777" w:rsidR="00F73CDF" w:rsidRPr="000F5C6F" w:rsidRDefault="00F73CDF" w:rsidP="00F73CDF">
      <w:pPr>
        <w:spacing w:after="120" w:line="240" w:lineRule="auto"/>
        <w:ind w:left="709"/>
        <w:jc w:val="both"/>
        <w:rPr>
          <w:rFonts w:ascii="Times New Roman" w:hAnsi="Times New Roman" w:cs="Times New Roman"/>
        </w:rPr>
      </w:pPr>
      <w:r w:rsidRPr="000F5C6F">
        <w:rPr>
          <w:rFonts w:ascii="Times New Roman" w:hAnsi="Times New Roman" w:cs="Times New Roman"/>
        </w:rPr>
        <w:t>The Australian Council of Deans of Education (ACDE) should coordinate with ITE institutions to ensure that each state and territory offers sufficient pathways for pre-service teachers to specialise in key technologies teaching areas such as computer science, industrial technologies, home economics and agriculture, collegially addressing gaps in state and territory provisions.</w:t>
      </w:r>
    </w:p>
    <w:p w14:paraId="56C3D30F" w14:textId="77777777" w:rsidR="00F73CDF" w:rsidRDefault="00F73CDF" w:rsidP="00F73CDF">
      <w:pPr>
        <w:numPr>
          <w:ilvl w:val="0"/>
          <w:numId w:val="7"/>
        </w:numPr>
        <w:spacing w:line="240" w:lineRule="auto"/>
        <w:jc w:val="both"/>
        <w:rPr>
          <w:rFonts w:ascii="Times New Roman" w:hAnsi="Times New Roman" w:cs="Times New Roman"/>
        </w:rPr>
      </w:pPr>
      <w:r w:rsidRPr="000F5C6F">
        <w:rPr>
          <w:rFonts w:ascii="Times New Roman" w:hAnsi="Times New Roman" w:cs="Times New Roman"/>
        </w:rPr>
        <w:t>Provide Career Guidance for Prospective Teachers:</w:t>
      </w:r>
    </w:p>
    <w:p w14:paraId="3184BE0B" w14:textId="77777777" w:rsidR="00F73CDF" w:rsidRPr="000F5C6F" w:rsidRDefault="00F73CDF" w:rsidP="00F73CDF">
      <w:pPr>
        <w:spacing w:after="120" w:line="240" w:lineRule="auto"/>
        <w:ind w:left="709"/>
        <w:jc w:val="both"/>
        <w:rPr>
          <w:rFonts w:ascii="Times New Roman" w:hAnsi="Times New Roman" w:cs="Times New Roman"/>
        </w:rPr>
      </w:pPr>
      <w:r w:rsidRPr="000F5C6F">
        <w:rPr>
          <w:rFonts w:ascii="Times New Roman" w:hAnsi="Times New Roman" w:cs="Times New Roman"/>
        </w:rPr>
        <w:t xml:space="preserve">It is essential to </w:t>
      </w:r>
      <w:r>
        <w:rPr>
          <w:rFonts w:ascii="Times New Roman" w:hAnsi="Times New Roman" w:cs="Times New Roman"/>
        </w:rPr>
        <w:t>provide</w:t>
      </w:r>
      <w:r w:rsidRPr="000F5C6F">
        <w:rPr>
          <w:rFonts w:ascii="Times New Roman" w:hAnsi="Times New Roman" w:cs="Times New Roman"/>
        </w:rPr>
        <w:t xml:space="preserve"> better career guidance to prospective teachers, </w:t>
      </w:r>
      <w:r>
        <w:rPr>
          <w:rFonts w:ascii="Times New Roman" w:hAnsi="Times New Roman" w:cs="Times New Roman"/>
        </w:rPr>
        <w:t>enabl</w:t>
      </w:r>
      <w:r w:rsidRPr="000F5C6F">
        <w:rPr>
          <w:rFonts w:ascii="Times New Roman" w:hAnsi="Times New Roman" w:cs="Times New Roman"/>
        </w:rPr>
        <w:t xml:space="preserve">ing them </w:t>
      </w:r>
      <w:r>
        <w:rPr>
          <w:rFonts w:ascii="Times New Roman" w:hAnsi="Times New Roman" w:cs="Times New Roman"/>
        </w:rPr>
        <w:t xml:space="preserve">to </w:t>
      </w:r>
      <w:r w:rsidRPr="000F5C6F">
        <w:rPr>
          <w:rFonts w:ascii="Times New Roman" w:hAnsi="Times New Roman" w:cs="Times New Roman"/>
        </w:rPr>
        <w:t xml:space="preserve">choose ITE institutions based on their capacity to prepare them for technologies education </w:t>
      </w:r>
      <w:r>
        <w:rPr>
          <w:rFonts w:ascii="Times New Roman" w:hAnsi="Times New Roman" w:cs="Times New Roman"/>
        </w:rPr>
        <w:t>where</w:t>
      </w:r>
      <w:r w:rsidRPr="000F5C6F">
        <w:rPr>
          <w:rFonts w:ascii="Times New Roman" w:hAnsi="Times New Roman" w:cs="Times New Roman"/>
        </w:rPr>
        <w:t xml:space="preserve"> this is their </w:t>
      </w:r>
      <w:r>
        <w:rPr>
          <w:rFonts w:ascii="Times New Roman" w:hAnsi="Times New Roman" w:cs="Times New Roman"/>
        </w:rPr>
        <w:t>intende</w:t>
      </w:r>
      <w:r w:rsidRPr="000F5C6F">
        <w:rPr>
          <w:rFonts w:ascii="Times New Roman" w:hAnsi="Times New Roman" w:cs="Times New Roman"/>
        </w:rPr>
        <w:t xml:space="preserve">d teaching area, and to make informed decisions </w:t>
      </w:r>
      <w:r>
        <w:rPr>
          <w:rFonts w:ascii="Times New Roman" w:hAnsi="Times New Roman" w:cs="Times New Roman"/>
        </w:rPr>
        <w:t>that help</w:t>
      </w:r>
      <w:r w:rsidRPr="000F5C6F">
        <w:rPr>
          <w:rFonts w:ascii="Times New Roman" w:hAnsi="Times New Roman" w:cs="Times New Roman"/>
        </w:rPr>
        <w:t xml:space="preserve"> them avoid enrolling in program</w:t>
      </w:r>
      <w:r>
        <w:rPr>
          <w:rFonts w:ascii="Times New Roman" w:hAnsi="Times New Roman" w:cs="Times New Roman"/>
        </w:rPr>
        <w:t>me</w:t>
      </w:r>
      <w:r w:rsidRPr="000F5C6F">
        <w:rPr>
          <w:rFonts w:ascii="Times New Roman" w:hAnsi="Times New Roman" w:cs="Times New Roman"/>
        </w:rPr>
        <w:t xml:space="preserve">s that do not </w:t>
      </w:r>
      <w:r>
        <w:rPr>
          <w:rFonts w:ascii="Times New Roman" w:hAnsi="Times New Roman" w:cs="Times New Roman"/>
        </w:rPr>
        <w:t>align with</w:t>
      </w:r>
      <w:r w:rsidRPr="000F5C6F">
        <w:rPr>
          <w:rFonts w:ascii="Times New Roman" w:hAnsi="Times New Roman" w:cs="Times New Roman"/>
        </w:rPr>
        <w:t xml:space="preserve"> their career goals. This could be achieved by the development and maintenance of a comparative guide by ATTEN with financial support from technologies industries.</w:t>
      </w:r>
    </w:p>
    <w:p w14:paraId="4C7B6C6F" w14:textId="77777777" w:rsidR="00F73CDF" w:rsidRDefault="00F73CDF" w:rsidP="00F73CDF">
      <w:pPr>
        <w:numPr>
          <w:ilvl w:val="0"/>
          <w:numId w:val="7"/>
        </w:numPr>
        <w:spacing w:line="240" w:lineRule="auto"/>
        <w:jc w:val="both"/>
        <w:rPr>
          <w:rFonts w:ascii="Times New Roman" w:hAnsi="Times New Roman" w:cs="Times New Roman"/>
        </w:rPr>
      </w:pPr>
      <w:r w:rsidRPr="000F5C6F">
        <w:rPr>
          <w:rFonts w:ascii="Times New Roman" w:hAnsi="Times New Roman" w:cs="Times New Roman"/>
        </w:rPr>
        <w:t>Promote National Consistency in Technologies Education:</w:t>
      </w:r>
    </w:p>
    <w:p w14:paraId="35FBC042" w14:textId="77777777" w:rsidR="00F73CDF" w:rsidRPr="000F5C6F" w:rsidRDefault="00F73CDF" w:rsidP="00F73CDF">
      <w:pPr>
        <w:spacing w:after="240" w:line="240" w:lineRule="auto"/>
        <w:ind w:left="709"/>
        <w:jc w:val="both"/>
        <w:rPr>
          <w:rFonts w:ascii="Times New Roman" w:hAnsi="Times New Roman" w:cs="Times New Roman"/>
        </w:rPr>
      </w:pPr>
      <w:r w:rsidRPr="000F5C6F">
        <w:rPr>
          <w:rFonts w:ascii="Times New Roman" w:hAnsi="Times New Roman" w:cs="Times New Roman"/>
        </w:rPr>
        <w:t>Despite a nationally agreed school curriculum, ITE program</w:t>
      </w:r>
      <w:r>
        <w:rPr>
          <w:rFonts w:ascii="Times New Roman" w:hAnsi="Times New Roman" w:cs="Times New Roman"/>
        </w:rPr>
        <w:t>me</w:t>
      </w:r>
      <w:r w:rsidRPr="000F5C6F">
        <w:rPr>
          <w:rFonts w:ascii="Times New Roman" w:hAnsi="Times New Roman" w:cs="Times New Roman"/>
        </w:rPr>
        <w:t>s remain unable to achieve consistency, and a national approach to technologies education in ITE program</w:t>
      </w:r>
      <w:r>
        <w:rPr>
          <w:rFonts w:ascii="Times New Roman" w:hAnsi="Times New Roman" w:cs="Times New Roman"/>
        </w:rPr>
        <w:t>me</w:t>
      </w:r>
      <w:r w:rsidRPr="000F5C6F">
        <w:rPr>
          <w:rFonts w:ascii="Times New Roman" w:hAnsi="Times New Roman" w:cs="Times New Roman"/>
        </w:rPr>
        <w:t>s is needed to reduce the disparities between states and territories. This could involve national benchmarking to set standards for the content of ITE technologies education, improving consistency in the quality of teacher preparation across the country. Where AITSL cannot provide sufficient specificity, they should be encouraged to work with organisations such as ATTEN and various industry groups such as the Australian Computer Society (ACS) and Engineers Australia (EA) to develop guidance for ITE program</w:t>
      </w:r>
      <w:r>
        <w:rPr>
          <w:rFonts w:ascii="Times New Roman" w:hAnsi="Times New Roman" w:cs="Times New Roman"/>
        </w:rPr>
        <w:t>me</w:t>
      </w:r>
      <w:r w:rsidRPr="000F5C6F">
        <w:rPr>
          <w:rFonts w:ascii="Times New Roman" w:hAnsi="Times New Roman" w:cs="Times New Roman"/>
        </w:rPr>
        <w:t xml:space="preserve">s to meet industry and societal needs. </w:t>
      </w:r>
    </w:p>
    <w:p w14:paraId="160B66F7" w14:textId="77777777" w:rsidR="00F73CDF" w:rsidRPr="000F5C6F" w:rsidRDefault="00F73CDF" w:rsidP="00F73CDF">
      <w:pPr>
        <w:spacing w:before="120" w:after="480" w:line="240" w:lineRule="auto"/>
        <w:jc w:val="both"/>
        <w:rPr>
          <w:rFonts w:ascii="Times New Roman" w:hAnsi="Times New Roman" w:cs="Times New Roman"/>
        </w:rPr>
      </w:pPr>
      <w:r w:rsidRPr="000F5C6F">
        <w:rPr>
          <w:rFonts w:ascii="Times New Roman" w:hAnsi="Times New Roman" w:cs="Times New Roman"/>
        </w:rPr>
        <w:t>By addressing these issues, Australian ITE program</w:t>
      </w:r>
      <w:r>
        <w:rPr>
          <w:rFonts w:ascii="Times New Roman" w:hAnsi="Times New Roman" w:cs="Times New Roman"/>
        </w:rPr>
        <w:t>me</w:t>
      </w:r>
      <w:r w:rsidRPr="000F5C6F">
        <w:rPr>
          <w:rFonts w:ascii="Times New Roman" w:hAnsi="Times New Roman" w:cs="Times New Roman"/>
        </w:rPr>
        <w:t>s can better equip future teachers to deliver the Technologies Curriculum and contribute to developing a technologically proficient population. This, in turn, will help meet the growing demands of the technologies industry and ensure that Australia remains competitive in the global economy.</w:t>
      </w:r>
    </w:p>
    <w:p w14:paraId="1EE8FC30" w14:textId="433743BC" w:rsidR="007567A6" w:rsidRPr="00536354" w:rsidRDefault="00790065" w:rsidP="00536354">
      <w:pPr>
        <w:spacing w:after="240" w:line="259" w:lineRule="auto"/>
        <w:rPr>
          <w:rFonts w:ascii="Helvetica" w:eastAsiaTheme="minorHAnsi" w:hAnsi="Helvetica" w:cstheme="minorBidi"/>
          <w:b/>
          <w:bCs/>
          <w:kern w:val="2"/>
          <w:sz w:val="28"/>
          <w:szCs w:val="28"/>
          <w:lang w:val="en-AU" w:eastAsia="en-US"/>
          <w14:ligatures w14:val="standardContextual"/>
        </w:rPr>
      </w:pPr>
      <w:r w:rsidRPr="00536354">
        <w:rPr>
          <w:rFonts w:ascii="Helvetica" w:eastAsiaTheme="minorHAnsi" w:hAnsi="Helvetica" w:cstheme="minorBidi"/>
          <w:b/>
          <w:bCs/>
          <w:kern w:val="2"/>
          <w:sz w:val="28"/>
          <w:szCs w:val="28"/>
          <w:lang w:val="en-AU" w:eastAsia="en-US"/>
          <w14:ligatures w14:val="standardContextual"/>
        </w:rPr>
        <w:t>Conclusion</w:t>
      </w:r>
    </w:p>
    <w:p w14:paraId="23E566C0" w14:textId="77777777" w:rsidR="00F73CDF" w:rsidRPr="000F5C6F" w:rsidRDefault="00F73CDF" w:rsidP="00F73CDF">
      <w:pPr>
        <w:spacing w:before="240" w:after="120" w:line="240" w:lineRule="auto"/>
        <w:jc w:val="both"/>
        <w:rPr>
          <w:rFonts w:ascii="Times New Roman" w:hAnsi="Times New Roman" w:cs="Times New Roman"/>
        </w:rPr>
      </w:pPr>
      <w:bookmarkStart w:id="20" w:name="_3c7w17tveaut" w:colFirst="0" w:colLast="0"/>
      <w:bookmarkEnd w:id="20"/>
      <w:r w:rsidRPr="000F5C6F">
        <w:rPr>
          <w:rFonts w:ascii="Times New Roman" w:hAnsi="Times New Roman" w:cs="Times New Roman"/>
        </w:rPr>
        <w:t>The findings from this study underscore significant challenges and inconsistencies in the delivery of technologies education within Australia's Initial Teacher Education (ITE) program</w:t>
      </w:r>
      <w:r>
        <w:rPr>
          <w:rFonts w:ascii="Times New Roman" w:hAnsi="Times New Roman" w:cs="Times New Roman"/>
        </w:rPr>
        <w:t>me</w:t>
      </w:r>
      <w:r w:rsidRPr="000F5C6F">
        <w:rPr>
          <w:rFonts w:ascii="Times New Roman" w:hAnsi="Times New Roman" w:cs="Times New Roman"/>
        </w:rPr>
        <w:t>s. Despite the critical role technologies education plays in preparing students for a technology-driven world, many ITE program</w:t>
      </w:r>
      <w:r>
        <w:rPr>
          <w:rFonts w:ascii="Times New Roman" w:hAnsi="Times New Roman" w:cs="Times New Roman"/>
        </w:rPr>
        <w:t>me</w:t>
      </w:r>
      <w:r w:rsidRPr="000F5C6F">
        <w:rPr>
          <w:rFonts w:ascii="Times New Roman" w:hAnsi="Times New Roman" w:cs="Times New Roman"/>
        </w:rPr>
        <w:t>s do not provide adequate pathways for pre-service teachers to engage with and teach the technologies learning area or subjects.</w:t>
      </w:r>
    </w:p>
    <w:p w14:paraId="32A38EDF" w14:textId="77777777" w:rsidR="00F73CDF" w:rsidRPr="000F5C6F" w:rsidRDefault="00F73CDF" w:rsidP="00F73CDF">
      <w:pPr>
        <w:spacing w:before="120" w:after="120" w:line="240" w:lineRule="auto"/>
        <w:jc w:val="both"/>
        <w:rPr>
          <w:rFonts w:ascii="Times New Roman" w:hAnsi="Times New Roman" w:cs="Times New Roman"/>
          <w:color w:val="FF0000"/>
        </w:rPr>
      </w:pPr>
      <w:r w:rsidRPr="000F5C6F">
        <w:rPr>
          <w:rFonts w:ascii="Times New Roman" w:hAnsi="Times New Roman" w:cs="Times New Roman"/>
        </w:rPr>
        <w:lastRenderedPageBreak/>
        <w:t>The five-year ITE accreditation cycle, while necessary for maintaining educational standards, can be a hindrance in adapting teacher preparation program</w:t>
      </w:r>
      <w:r>
        <w:rPr>
          <w:rFonts w:ascii="Times New Roman" w:hAnsi="Times New Roman" w:cs="Times New Roman"/>
        </w:rPr>
        <w:t>me</w:t>
      </w:r>
      <w:r w:rsidRPr="000F5C6F">
        <w:rPr>
          <w:rFonts w:ascii="Times New Roman" w:hAnsi="Times New Roman" w:cs="Times New Roman"/>
        </w:rPr>
        <w:t>s to meet the rapidly changing demands of technological advancements. The lag between curriculum changes and their implementation in ITE program</w:t>
      </w:r>
      <w:r>
        <w:rPr>
          <w:rFonts w:ascii="Times New Roman" w:hAnsi="Times New Roman" w:cs="Times New Roman"/>
        </w:rPr>
        <w:t>me</w:t>
      </w:r>
      <w:r w:rsidRPr="000F5C6F">
        <w:rPr>
          <w:rFonts w:ascii="Times New Roman" w:hAnsi="Times New Roman" w:cs="Times New Roman"/>
        </w:rPr>
        <w:t>s has resulted in gaps that affect not only teacher readiness but also the quality of technologies education students receive.</w:t>
      </w:r>
      <w:r w:rsidRPr="000F5C6F">
        <w:rPr>
          <w:rFonts w:ascii="Times New Roman" w:hAnsi="Times New Roman" w:cs="Times New Roman"/>
          <w:color w:val="FF0000"/>
        </w:rPr>
        <w:t xml:space="preserve"> </w:t>
      </w:r>
    </w:p>
    <w:p w14:paraId="47ACC08D" w14:textId="77777777" w:rsidR="00F73CDF" w:rsidRPr="000F5C6F" w:rsidRDefault="00F73CDF" w:rsidP="00F73CDF">
      <w:pPr>
        <w:spacing w:before="120" w:after="120" w:line="240" w:lineRule="auto"/>
        <w:jc w:val="both"/>
        <w:rPr>
          <w:rFonts w:ascii="Times New Roman" w:hAnsi="Times New Roman" w:cs="Times New Roman"/>
        </w:rPr>
      </w:pPr>
      <w:r w:rsidRPr="000F5C6F">
        <w:rPr>
          <w:rFonts w:ascii="Times New Roman" w:hAnsi="Times New Roman" w:cs="Times New Roman"/>
        </w:rPr>
        <w:t>State and territory disparities further exacerbate these challenges, with some regions significantly lagging in technologies education offerings. This creates a national imbalance where schools in certain areas struggle to find qualified teachers capable of providing technologies education. As a result, students' exposure to key technological subjects largely depends on the state or institution in which they are taught, leading to inequities in educational outcomes.</w:t>
      </w:r>
    </w:p>
    <w:p w14:paraId="4963BC43" w14:textId="77777777" w:rsidR="00F73CDF" w:rsidRPr="000F5C6F" w:rsidRDefault="00F73CDF" w:rsidP="00F73CDF">
      <w:pPr>
        <w:spacing w:before="120" w:after="120" w:line="240" w:lineRule="auto"/>
        <w:jc w:val="both"/>
        <w:rPr>
          <w:rFonts w:ascii="Times New Roman" w:hAnsi="Times New Roman" w:cs="Times New Roman"/>
        </w:rPr>
      </w:pPr>
      <w:r w:rsidRPr="000F5C6F">
        <w:rPr>
          <w:rFonts w:ascii="Times New Roman" w:hAnsi="Times New Roman" w:cs="Times New Roman"/>
        </w:rPr>
        <w:t>It is essential that national and state education authorities, in collaboration with ITE institutions, work towards greater consistency in preparing future teachers for technologies education. Strengthening the AITSL accreditation standards, increasing flexibility in the accreditation process, and ensuring that all ITE program</w:t>
      </w:r>
      <w:r>
        <w:rPr>
          <w:rFonts w:ascii="Times New Roman" w:hAnsi="Times New Roman" w:cs="Times New Roman"/>
        </w:rPr>
        <w:t>me</w:t>
      </w:r>
      <w:r w:rsidRPr="000F5C6F">
        <w:rPr>
          <w:rFonts w:ascii="Times New Roman" w:hAnsi="Times New Roman" w:cs="Times New Roman"/>
        </w:rPr>
        <w:t>s address minimum curriculum requirements for technologies education are critical steps in this direction. Additionally, providing specialisation opportunities in key technologies teaching areas and offering better career guidance for prospective teachers will help ensure that those entering the profession are well-equipped to meet the challenges of modern education.</w:t>
      </w:r>
    </w:p>
    <w:p w14:paraId="123A246B" w14:textId="77777777" w:rsidR="00F73CDF" w:rsidRPr="000F5C6F" w:rsidRDefault="00F73CDF" w:rsidP="00F73CDF">
      <w:pPr>
        <w:spacing w:before="120" w:after="360" w:line="240" w:lineRule="auto"/>
        <w:jc w:val="both"/>
        <w:rPr>
          <w:rFonts w:ascii="Times New Roman" w:hAnsi="Times New Roman" w:cs="Times New Roman"/>
        </w:rPr>
      </w:pPr>
      <w:r w:rsidRPr="000F5C6F">
        <w:rPr>
          <w:rFonts w:ascii="Times New Roman" w:hAnsi="Times New Roman" w:cs="Times New Roman"/>
        </w:rPr>
        <w:t>In conclusion, addressing the gaps in technologies education within ITE program</w:t>
      </w:r>
      <w:r>
        <w:rPr>
          <w:rFonts w:ascii="Times New Roman" w:hAnsi="Times New Roman" w:cs="Times New Roman"/>
        </w:rPr>
        <w:t>me</w:t>
      </w:r>
      <w:r w:rsidRPr="000F5C6F">
        <w:rPr>
          <w:rFonts w:ascii="Times New Roman" w:hAnsi="Times New Roman" w:cs="Times New Roman"/>
        </w:rPr>
        <w:t>s is crucial not only for the successful implementation of technologies education in schools but also for securing Australia’s future workforce in critical STEM-related industries. Providing pre-service teachers with the necessary skills and knowledge can enable them to inspire the next generation of students to become proficient in technologies, fostering innovation, creativity, and competitiveness in the global digital economy. Without these reforms, Australia risks falling behind in developing a teaching workforce that can meet the technological demands of the 21st century.</w:t>
      </w:r>
      <w:bookmarkStart w:id="21" w:name="_v2wyrha8xh3e" w:colFirst="0" w:colLast="0"/>
      <w:bookmarkEnd w:id="21"/>
    </w:p>
    <w:p w14:paraId="76EAF63B" w14:textId="77777777" w:rsidR="007567A6" w:rsidRPr="00573411" w:rsidRDefault="003E0637" w:rsidP="00573411">
      <w:pPr>
        <w:spacing w:before="480" w:after="240" w:line="259" w:lineRule="auto"/>
        <w:rPr>
          <w:rFonts w:ascii="Helvetica" w:eastAsiaTheme="minorHAnsi" w:hAnsi="Helvetica" w:cstheme="minorBidi"/>
          <w:b/>
          <w:bCs/>
          <w:kern w:val="2"/>
          <w:sz w:val="28"/>
          <w:szCs w:val="28"/>
          <w:lang w:val="en-AU" w:eastAsia="en-US"/>
          <w14:ligatures w14:val="standardContextual"/>
        </w:rPr>
      </w:pPr>
      <w:r w:rsidRPr="00573411">
        <w:rPr>
          <w:rFonts w:ascii="Helvetica" w:eastAsiaTheme="minorHAnsi" w:hAnsi="Helvetica" w:cstheme="minorBidi"/>
          <w:b/>
          <w:bCs/>
          <w:kern w:val="2"/>
          <w:sz w:val="28"/>
          <w:szCs w:val="28"/>
          <w:lang w:val="en-AU" w:eastAsia="en-US"/>
          <w14:ligatures w14:val="standardContextual"/>
        </w:rPr>
        <w:t>References</w:t>
      </w:r>
    </w:p>
    <w:p w14:paraId="64DC3F05" w14:textId="77777777" w:rsidR="00F73CDF" w:rsidRPr="000F5C6F" w:rsidRDefault="00F73CDF" w:rsidP="00F73CDF">
      <w:pPr>
        <w:spacing w:before="240" w:line="240" w:lineRule="auto"/>
        <w:ind w:left="720" w:hanging="720"/>
        <w:rPr>
          <w:rFonts w:ascii="Times New Roman" w:hAnsi="Times New Roman" w:cs="Times New Roman"/>
        </w:rPr>
      </w:pPr>
      <w:r w:rsidRPr="000F5C6F">
        <w:rPr>
          <w:rFonts w:ascii="Times New Roman" w:hAnsi="Times New Roman" w:cs="Times New Roman"/>
        </w:rPr>
        <w:t xml:space="preserve">Australian Council of Deans of Education (ACDE). (2024). </w:t>
      </w:r>
      <w:r w:rsidRPr="000F5C6F">
        <w:rPr>
          <w:rFonts w:ascii="Times New Roman" w:hAnsi="Times New Roman" w:cs="Times New Roman"/>
          <w:i/>
        </w:rPr>
        <w:t>ACDE Australian Teacher Education Network (ATTEN)</w:t>
      </w:r>
      <w:r w:rsidRPr="000F5C6F">
        <w:rPr>
          <w:rFonts w:ascii="Times New Roman" w:hAnsi="Times New Roman" w:cs="Times New Roman"/>
        </w:rPr>
        <w:t>.</w:t>
      </w:r>
      <w:hyperlink r:id="rId17">
        <w:r w:rsidRPr="000F5C6F">
          <w:rPr>
            <w:rFonts w:ascii="Times New Roman" w:hAnsi="Times New Roman" w:cs="Times New Roman"/>
          </w:rPr>
          <w:t xml:space="preserve"> </w:t>
        </w:r>
      </w:hyperlink>
      <w:hyperlink r:id="rId18">
        <w:r w:rsidRPr="000F5C6F">
          <w:rPr>
            <w:rFonts w:ascii="Times New Roman" w:hAnsi="Times New Roman" w:cs="Times New Roman"/>
          </w:rPr>
          <w:t>https://www.acde.edu.au/atten/</w:t>
        </w:r>
      </w:hyperlink>
    </w:p>
    <w:p w14:paraId="706AA0B1"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Australian Curriculum, Assessment and Reporting Authority (ACARA). (2015). </w:t>
      </w:r>
      <w:r w:rsidRPr="000F5C6F">
        <w:rPr>
          <w:rFonts w:ascii="Times New Roman" w:hAnsi="Times New Roman" w:cs="Times New Roman"/>
          <w:i/>
          <w:iCs/>
        </w:rPr>
        <w:t>The Australian Curriculum: Technologies.</w:t>
      </w:r>
      <w:hyperlink r:id="rId19">
        <w:r w:rsidRPr="000F5C6F">
          <w:rPr>
            <w:rFonts w:ascii="Times New Roman" w:hAnsi="Times New Roman" w:cs="Times New Roman"/>
            <w:i/>
            <w:iCs/>
          </w:rPr>
          <w:t xml:space="preserve"> </w:t>
        </w:r>
      </w:hyperlink>
      <w:hyperlink r:id="rId20">
        <w:r w:rsidRPr="000F5C6F">
          <w:rPr>
            <w:rFonts w:ascii="Times New Roman" w:hAnsi="Times New Roman" w:cs="Times New Roman"/>
          </w:rPr>
          <w:t>https://www.australiancurriculum.edu.au</w:t>
        </w:r>
      </w:hyperlink>
    </w:p>
    <w:p w14:paraId="45A3AC7F"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Australian Institute for Teaching and School Leadership (AITSL). (2023). </w:t>
      </w:r>
      <w:r w:rsidRPr="000F5C6F">
        <w:rPr>
          <w:rFonts w:ascii="Times New Roman" w:hAnsi="Times New Roman" w:cs="Times New Roman"/>
          <w:i/>
        </w:rPr>
        <w:t>Accreditation of initial teacher education programs in Australia: Standards and procedures</w:t>
      </w:r>
      <w:r w:rsidRPr="000F5C6F">
        <w:rPr>
          <w:rFonts w:ascii="Times New Roman" w:hAnsi="Times New Roman" w:cs="Times New Roman"/>
        </w:rPr>
        <w:t xml:space="preserve">. </w:t>
      </w:r>
      <w:hyperlink r:id="rId21">
        <w:r w:rsidRPr="000F5C6F">
          <w:rPr>
            <w:rFonts w:ascii="Times New Roman" w:hAnsi="Times New Roman" w:cs="Times New Roman"/>
          </w:rPr>
          <w:t>https://www.aitsl.edu.au/docs/default-source/national-policy-framework/addendum-to-accreditation-standards-and-procedures.pdf</w:t>
        </w:r>
      </w:hyperlink>
      <w:r w:rsidRPr="000F5C6F">
        <w:rPr>
          <w:rFonts w:ascii="Times New Roman" w:hAnsi="Times New Roman" w:cs="Times New Roman"/>
        </w:rPr>
        <w:t xml:space="preserve"> </w:t>
      </w:r>
    </w:p>
    <w:p w14:paraId="331D6A44"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Ballet, K., &amp; Kelchtermans, G. (2009). Struggling with workload: Primary teachers' experience of intensification. </w:t>
      </w:r>
      <w:r w:rsidRPr="000F5C6F">
        <w:rPr>
          <w:rFonts w:ascii="Times New Roman" w:hAnsi="Times New Roman" w:cs="Times New Roman"/>
          <w:i/>
        </w:rPr>
        <w:t>Teaching and Teacher Education, 25</w:t>
      </w:r>
      <w:r w:rsidRPr="000F5C6F">
        <w:rPr>
          <w:rFonts w:ascii="Times New Roman" w:hAnsi="Times New Roman" w:cs="Times New Roman"/>
        </w:rPr>
        <w:t xml:space="preserve">(8), 1150-1157. </w:t>
      </w:r>
      <w:hyperlink r:id="rId22">
        <w:r w:rsidRPr="000F5C6F">
          <w:rPr>
            <w:rFonts w:ascii="Times New Roman" w:hAnsi="Times New Roman" w:cs="Times New Roman"/>
            <w:highlight w:val="white"/>
          </w:rPr>
          <w:t>https://doi.org/10.1016/j.tate.2009.02.012</w:t>
        </w:r>
      </w:hyperlink>
    </w:p>
    <w:p w14:paraId="0A827C49"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highlight w:val="white"/>
        </w:rPr>
        <w:t>Blannin, J., Redmond, P., McLeod, A. &amp; Mayne, F. (2022)</w:t>
      </w:r>
      <w:r w:rsidRPr="000F5C6F">
        <w:rPr>
          <w:rFonts w:ascii="Times New Roman" w:hAnsi="Times New Roman" w:cs="Times New Roman"/>
          <w:i/>
          <w:highlight w:val="white"/>
        </w:rPr>
        <w:t>.</w:t>
      </w:r>
      <w:r w:rsidRPr="000F5C6F">
        <w:rPr>
          <w:rFonts w:ascii="Times New Roman" w:hAnsi="Times New Roman" w:cs="Times New Roman"/>
          <w:highlight w:val="white"/>
        </w:rPr>
        <w:t xml:space="preserve"> Positioning the technologies curriculum: </w:t>
      </w:r>
      <w:r>
        <w:rPr>
          <w:rFonts w:ascii="Times New Roman" w:hAnsi="Times New Roman" w:cs="Times New Roman"/>
          <w:highlight w:val="white"/>
        </w:rPr>
        <w:t>A</w:t>
      </w:r>
      <w:r w:rsidRPr="000F5C6F">
        <w:rPr>
          <w:rFonts w:ascii="Times New Roman" w:hAnsi="Times New Roman" w:cs="Times New Roman"/>
          <w:highlight w:val="white"/>
        </w:rPr>
        <w:t xml:space="preserve"> snapshot of Australian initial teacher education programs. </w:t>
      </w:r>
      <w:r w:rsidRPr="000F5C6F">
        <w:rPr>
          <w:rFonts w:ascii="Times New Roman" w:hAnsi="Times New Roman" w:cs="Times New Roman"/>
          <w:i/>
          <w:highlight w:val="white"/>
        </w:rPr>
        <w:t>Australian Educational Researcher,</w:t>
      </w:r>
      <w:r w:rsidRPr="00A67FB8">
        <w:rPr>
          <w:rFonts w:ascii="Times New Roman" w:hAnsi="Times New Roman" w:cs="Times New Roman"/>
          <w:i/>
          <w:iCs/>
          <w:highlight w:val="white"/>
        </w:rPr>
        <w:t xml:space="preserve"> 49,</w:t>
      </w:r>
      <w:r w:rsidRPr="000F5C6F">
        <w:rPr>
          <w:rFonts w:ascii="Times New Roman" w:hAnsi="Times New Roman" w:cs="Times New Roman"/>
          <w:highlight w:val="white"/>
        </w:rPr>
        <w:t xml:space="preserve"> 979–999. </w:t>
      </w:r>
      <w:hyperlink r:id="rId23">
        <w:r w:rsidRPr="000F5C6F">
          <w:rPr>
            <w:rFonts w:ascii="Times New Roman" w:hAnsi="Times New Roman" w:cs="Times New Roman"/>
            <w:highlight w:val="white"/>
          </w:rPr>
          <w:t>https://doi.org/10.1007/s13384-021-00473-5</w:t>
        </w:r>
      </w:hyperlink>
      <w:r w:rsidRPr="000F5C6F">
        <w:rPr>
          <w:rFonts w:ascii="Times New Roman" w:hAnsi="Times New Roman" w:cs="Times New Roman"/>
          <w:highlight w:val="white"/>
        </w:rPr>
        <w:t xml:space="preserve"> </w:t>
      </w:r>
    </w:p>
    <w:p w14:paraId="4AE6BE3B"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Ministerial Council on Education, Employment, Training and Youth Affairs. (2008). </w:t>
      </w:r>
      <w:r w:rsidRPr="000F5C6F">
        <w:rPr>
          <w:rFonts w:ascii="Times New Roman" w:hAnsi="Times New Roman" w:cs="Times New Roman"/>
          <w:i/>
          <w:iCs/>
        </w:rPr>
        <w:t>Melbourne declaration on educational goals for young Australians.</w:t>
      </w:r>
      <w:r w:rsidRPr="000F5C6F">
        <w:rPr>
          <w:rFonts w:ascii="Times New Roman" w:hAnsi="Times New Roman" w:cs="Times New Roman"/>
        </w:rPr>
        <w:t xml:space="preserve"> Curriculum Corporation. </w:t>
      </w:r>
      <w:hyperlink r:id="rId24">
        <w:r w:rsidRPr="000F5C6F">
          <w:rPr>
            <w:rFonts w:ascii="Times New Roman" w:hAnsi="Times New Roman" w:cs="Times New Roman"/>
          </w:rPr>
          <w:t>https://files.eric.ed.gov/fulltext/ED534449.pdf</w:t>
        </w:r>
      </w:hyperlink>
      <w:r w:rsidRPr="000F5C6F">
        <w:rPr>
          <w:rFonts w:ascii="Times New Roman" w:hAnsi="Times New Roman" w:cs="Times New Roman"/>
        </w:rPr>
        <w:t xml:space="preserve"> </w:t>
      </w:r>
    </w:p>
    <w:p w14:paraId="111CC2BD"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Mockler, N., &amp; Groundwater-Smith, S. (2015). </w:t>
      </w:r>
      <w:r w:rsidRPr="000F5C6F">
        <w:rPr>
          <w:rFonts w:ascii="Times New Roman" w:hAnsi="Times New Roman" w:cs="Times New Roman"/>
          <w:i/>
        </w:rPr>
        <w:t>Teacher professional learning in an age of compliance: Mind the gap</w:t>
      </w:r>
      <w:r w:rsidRPr="000F5C6F">
        <w:rPr>
          <w:rFonts w:ascii="Times New Roman" w:hAnsi="Times New Roman" w:cs="Times New Roman"/>
        </w:rPr>
        <w:t xml:space="preserve">. Springer. </w:t>
      </w:r>
      <w:hyperlink r:id="rId25">
        <w:r w:rsidRPr="000F5C6F">
          <w:rPr>
            <w:rFonts w:ascii="Times New Roman" w:hAnsi="Times New Roman" w:cs="Times New Roman"/>
            <w:highlight w:val="white"/>
          </w:rPr>
          <w:t>http://dx.doi.org/10.1007/978-1-4020-9417-0</w:t>
        </w:r>
      </w:hyperlink>
      <w:r w:rsidRPr="000F5C6F">
        <w:rPr>
          <w:rFonts w:ascii="Times New Roman" w:hAnsi="Times New Roman" w:cs="Times New Roman"/>
          <w:highlight w:val="white"/>
        </w:rPr>
        <w:t xml:space="preserve"> </w:t>
      </w:r>
    </w:p>
    <w:p w14:paraId="17679651"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highlight w:val="white"/>
        </w:rPr>
        <w:t xml:space="preserve">Nguyen, D., &amp; Pudlowski, Z. (2007). Issues and challenges in engineering education and the future outlook of the engineering profession in Australia. </w:t>
      </w:r>
      <w:r w:rsidRPr="000F5C6F">
        <w:rPr>
          <w:rFonts w:ascii="Times New Roman" w:hAnsi="Times New Roman" w:cs="Times New Roman"/>
          <w:i/>
          <w:highlight w:val="white"/>
        </w:rPr>
        <w:t>Global Journal of Engineering Education</w:t>
      </w:r>
      <w:r w:rsidRPr="000F5C6F">
        <w:rPr>
          <w:rFonts w:ascii="Times New Roman" w:hAnsi="Times New Roman" w:cs="Times New Roman"/>
          <w:highlight w:val="white"/>
        </w:rPr>
        <w:t xml:space="preserve">, </w:t>
      </w:r>
      <w:r w:rsidRPr="000F5C6F">
        <w:rPr>
          <w:rFonts w:ascii="Times New Roman" w:hAnsi="Times New Roman" w:cs="Times New Roman"/>
          <w:i/>
          <w:highlight w:val="white"/>
        </w:rPr>
        <w:t>11</w:t>
      </w:r>
      <w:r w:rsidRPr="000F5C6F">
        <w:rPr>
          <w:rFonts w:ascii="Times New Roman" w:hAnsi="Times New Roman" w:cs="Times New Roman"/>
          <w:highlight w:val="white"/>
        </w:rPr>
        <w:t xml:space="preserve">(2). </w:t>
      </w:r>
      <w:hyperlink r:id="rId26">
        <w:r w:rsidRPr="000F5C6F">
          <w:rPr>
            <w:rFonts w:ascii="Times New Roman" w:hAnsi="Times New Roman" w:cs="Times New Roman"/>
            <w:highlight w:val="white"/>
          </w:rPr>
          <w:t>http://www.wiete.com.au/journals/GJEE/Publish/vol11no2/_Inside-full.pdf</w:t>
        </w:r>
      </w:hyperlink>
      <w:r w:rsidRPr="000F5C6F">
        <w:rPr>
          <w:rFonts w:ascii="Times New Roman" w:hAnsi="Times New Roman" w:cs="Times New Roman"/>
          <w:highlight w:val="white"/>
        </w:rPr>
        <w:t xml:space="preserve"> </w:t>
      </w:r>
    </w:p>
    <w:p w14:paraId="7BFE6A1A"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Sachs, J. (2003). </w:t>
      </w:r>
      <w:r w:rsidRPr="000F5C6F">
        <w:rPr>
          <w:rFonts w:ascii="Times New Roman" w:hAnsi="Times New Roman" w:cs="Times New Roman"/>
          <w:i/>
          <w:iCs/>
        </w:rPr>
        <w:t>Teacher activism: Mobilising the profession</w:t>
      </w:r>
      <w:r w:rsidRPr="000F5C6F">
        <w:rPr>
          <w:rFonts w:ascii="Times New Roman" w:hAnsi="Times New Roman" w:cs="Times New Roman"/>
        </w:rPr>
        <w:t xml:space="preserve"> [Plenary Address]. British Educational Research Association Conference. Edinburgh, Scotland, UK.  </w:t>
      </w:r>
    </w:p>
    <w:p w14:paraId="6A396EFD" w14:textId="77777777" w:rsidR="00F73CDF" w:rsidRPr="000F5C6F" w:rsidRDefault="00F73CDF" w:rsidP="00F73CDF">
      <w:pPr>
        <w:spacing w:line="240" w:lineRule="auto"/>
        <w:ind w:left="720" w:hanging="720"/>
        <w:rPr>
          <w:rFonts w:ascii="Times New Roman" w:hAnsi="Times New Roman" w:cs="Times New Roman"/>
          <w:highlight w:val="white"/>
        </w:rPr>
      </w:pPr>
      <w:r w:rsidRPr="000F5C6F">
        <w:rPr>
          <w:rFonts w:ascii="Times New Roman" w:hAnsi="Times New Roman" w:cs="Times New Roman"/>
          <w:highlight w:val="white"/>
        </w:rPr>
        <w:lastRenderedPageBreak/>
        <w:t xml:space="preserve">Williams, J., &amp; Keirl, S. (2001). </w:t>
      </w:r>
      <w:r w:rsidRPr="000F5C6F">
        <w:rPr>
          <w:rFonts w:ascii="Times New Roman" w:hAnsi="Times New Roman" w:cs="Times New Roman"/>
          <w:i/>
          <w:iCs/>
          <w:highlight w:val="white"/>
        </w:rPr>
        <w:t>The status of teaching and learning of technology in primary and secondary schools in Australia</w:t>
      </w:r>
      <w:r w:rsidRPr="000F5C6F">
        <w:rPr>
          <w:rFonts w:ascii="Times New Roman" w:hAnsi="Times New Roman" w:cs="Times New Roman"/>
          <w:highlight w:val="white"/>
        </w:rPr>
        <w:t xml:space="preserve"> [Paper presentation]. IDATER 2001 Conference, Loughborough, England, UK. </w:t>
      </w:r>
      <w:hyperlink r:id="rId27">
        <w:r w:rsidRPr="000F5C6F">
          <w:rPr>
            <w:rFonts w:ascii="Times New Roman" w:hAnsi="Times New Roman" w:cs="Times New Roman"/>
            <w:highlight w:val="white"/>
          </w:rPr>
          <w:t>https://hdl.handle.net/2134/1350</w:t>
        </w:r>
      </w:hyperlink>
      <w:r w:rsidRPr="000F5C6F">
        <w:rPr>
          <w:rFonts w:ascii="Times New Roman" w:hAnsi="Times New Roman" w:cs="Times New Roman"/>
          <w:highlight w:val="white"/>
        </w:rPr>
        <w:t xml:space="preserve"> </w:t>
      </w:r>
    </w:p>
    <w:p w14:paraId="3863D061" w14:textId="77777777" w:rsidR="00F73CDF" w:rsidRPr="000F5C6F" w:rsidRDefault="00F73CDF" w:rsidP="00F73CDF">
      <w:pPr>
        <w:spacing w:line="240" w:lineRule="auto"/>
        <w:ind w:left="720" w:hanging="720"/>
        <w:rPr>
          <w:rFonts w:ascii="Times New Roman" w:hAnsi="Times New Roman" w:cs="Times New Roman"/>
        </w:rPr>
      </w:pPr>
      <w:r w:rsidRPr="000F5C6F">
        <w:rPr>
          <w:rFonts w:ascii="Times New Roman" w:hAnsi="Times New Roman" w:cs="Times New Roman"/>
        </w:rPr>
        <w:t xml:space="preserve">Zagami, J. (2022). </w:t>
      </w:r>
      <w:r w:rsidRPr="000F5C6F">
        <w:rPr>
          <w:rFonts w:ascii="Times New Roman" w:hAnsi="Times New Roman" w:cs="Times New Roman"/>
          <w:i/>
        </w:rPr>
        <w:t>Computer Education in Australian schools</w:t>
      </w:r>
      <w:r w:rsidRPr="000F5C6F">
        <w:rPr>
          <w:rFonts w:ascii="Times New Roman" w:hAnsi="Times New Roman" w:cs="Times New Roman"/>
        </w:rPr>
        <w:t xml:space="preserve">. Australian Computer Society. </w:t>
      </w:r>
      <w:hyperlink r:id="rId28">
        <w:r w:rsidRPr="000F5C6F">
          <w:rPr>
            <w:rFonts w:ascii="Times New Roman" w:hAnsi="Times New Roman" w:cs="Times New Roman"/>
          </w:rPr>
          <w:t>https://www.acs.org.au/content/dam/acs/acs-publications/ACS-Digital-Technologies-Education-Whitepaper_A04_FA_WEB.pdf</w:t>
        </w:r>
      </w:hyperlink>
      <w:r w:rsidRPr="000F5C6F">
        <w:rPr>
          <w:rFonts w:ascii="Times New Roman" w:hAnsi="Times New Roman" w:cs="Times New Roman"/>
        </w:rPr>
        <w:t xml:space="preserve"> </w:t>
      </w:r>
    </w:p>
    <w:p w14:paraId="55BCF463" w14:textId="0FEBD1CC" w:rsidR="007567A6" w:rsidRPr="000F5C6F" w:rsidRDefault="007567A6" w:rsidP="00F73CDF">
      <w:pPr>
        <w:spacing w:before="240" w:line="240" w:lineRule="auto"/>
        <w:ind w:left="720" w:hanging="720"/>
        <w:rPr>
          <w:rFonts w:ascii="Times New Roman" w:hAnsi="Times New Roman" w:cs="Times New Roman"/>
        </w:rPr>
      </w:pPr>
    </w:p>
    <w:sectPr w:rsidR="007567A6" w:rsidRPr="000F5C6F" w:rsidSect="00A36139">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250C99" w14:textId="77777777" w:rsidR="00247FAE" w:rsidRDefault="00247FAE" w:rsidP="0070239A">
      <w:pPr>
        <w:spacing w:line="240" w:lineRule="auto"/>
      </w:pPr>
      <w:r>
        <w:separator/>
      </w:r>
    </w:p>
  </w:endnote>
  <w:endnote w:type="continuationSeparator" w:id="0">
    <w:p w14:paraId="710E1012" w14:textId="77777777" w:rsidR="00247FAE" w:rsidRDefault="00247FAE" w:rsidP="007023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oogle Sans">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31973457"/>
      <w:docPartObj>
        <w:docPartGallery w:val="Page Numbers (Bottom of Page)"/>
        <w:docPartUnique/>
      </w:docPartObj>
    </w:sdtPr>
    <w:sdtEndPr>
      <w:rPr>
        <w:rStyle w:val="PageNumber"/>
      </w:rPr>
    </w:sdtEndPr>
    <w:sdtContent>
      <w:p w14:paraId="32F66692" w14:textId="4014E898" w:rsidR="007F7BE3" w:rsidRDefault="007F7BE3" w:rsidP="007A09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9E590E" w14:textId="6E752409" w:rsidR="00007ABA" w:rsidRPr="000F5C6F" w:rsidRDefault="007F7BE3" w:rsidP="007F7BE3">
    <w:pPr>
      <w:pStyle w:val="Footer"/>
      <w:ind w:right="360"/>
      <w:rPr>
        <w:lang w:val="mi-NZ"/>
      </w:rPr>
    </w:pPr>
    <w:r>
      <w:rPr>
        <w:lang w:val="mi-NZ"/>
      </w:rPr>
      <w:t>Australasian Journal of Technology Education, Vol 1</w:t>
    </w:r>
    <w:r w:rsidR="001D030B">
      <w:rPr>
        <w:lang w:val="mi-NZ"/>
      </w:rPr>
      <w:t>1</w:t>
    </w:r>
    <w:r>
      <w:rPr>
        <w:lang w:val="mi-NZ"/>
      </w:rPr>
      <w:t xml:space="preserve">, Special </w:t>
    </w:r>
    <w:r w:rsidR="00F77A62">
      <w:rPr>
        <w:lang w:val="mi-NZ"/>
      </w:rPr>
      <w:t>Issue</w:t>
    </w:r>
    <w:r>
      <w:rPr>
        <w:lang w:val="mi-NZ"/>
      </w:rPr>
      <w:t>, 202</w:t>
    </w:r>
    <w:r w:rsidR="001D030B">
      <w:rPr>
        <w:lang w:val="mi-NZ"/>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6764810"/>
      <w:docPartObj>
        <w:docPartGallery w:val="Page Numbers (Bottom of Page)"/>
        <w:docPartUnique/>
      </w:docPartObj>
    </w:sdtPr>
    <w:sdtEndPr>
      <w:rPr>
        <w:rStyle w:val="PageNumber"/>
      </w:rPr>
    </w:sdtEndPr>
    <w:sdtContent>
      <w:p w14:paraId="7D2BEFDF" w14:textId="7501D494" w:rsidR="007F7BE3" w:rsidRDefault="007F7BE3" w:rsidP="007A09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55480" w14:textId="53CB49A7" w:rsidR="00007ABA" w:rsidRPr="00573411" w:rsidRDefault="00573411" w:rsidP="00573411">
    <w:pPr>
      <w:pStyle w:val="Footer"/>
      <w:ind w:right="360"/>
      <w:rPr>
        <w:lang w:val="mi-NZ"/>
      </w:rPr>
    </w:pPr>
    <w:r>
      <w:rPr>
        <w:lang w:val="mi-NZ"/>
      </w:rPr>
      <w:t>Australasian Journal of Technology Education, Vol 1</w:t>
    </w:r>
    <w:r w:rsidR="001D030B">
      <w:rPr>
        <w:lang w:val="mi-NZ"/>
      </w:rPr>
      <w:t>1</w:t>
    </w:r>
    <w:r>
      <w:rPr>
        <w:lang w:val="mi-NZ"/>
      </w:rPr>
      <w:t xml:space="preserve">, Special </w:t>
    </w:r>
    <w:r w:rsidR="00F77A62">
      <w:rPr>
        <w:lang w:val="mi-NZ"/>
      </w:rPr>
      <w:t>Issue</w:t>
    </w:r>
    <w:r>
      <w:rPr>
        <w:lang w:val="mi-NZ"/>
      </w:rPr>
      <w:t>, 202</w:t>
    </w:r>
    <w:r w:rsidR="001D030B">
      <w:rPr>
        <w:lang w:val="mi-NZ"/>
      </w:rPr>
      <w:t>6</w:t>
    </w:r>
    <w:r>
      <w:rPr>
        <w:lang w:val="mi-NZ"/>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08360997"/>
      <w:docPartObj>
        <w:docPartGallery w:val="Page Numbers (Bottom of Page)"/>
        <w:docPartUnique/>
      </w:docPartObj>
    </w:sdtPr>
    <w:sdtEndPr>
      <w:rPr>
        <w:rStyle w:val="PageNumber"/>
      </w:rPr>
    </w:sdtEndPr>
    <w:sdtContent>
      <w:p w14:paraId="747B6D49" w14:textId="2B248213" w:rsidR="007F7BE3" w:rsidRDefault="007F7BE3" w:rsidP="007A09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E9F9E2" w14:textId="2871BCD0" w:rsidR="007F7BE3" w:rsidRPr="003C0FFE" w:rsidRDefault="007F7BE3" w:rsidP="007F7BE3">
    <w:pPr>
      <w:pStyle w:val="Footer"/>
      <w:ind w:right="360"/>
      <w:rPr>
        <w:lang w:val="mi-NZ"/>
      </w:rPr>
    </w:pPr>
    <w:r>
      <w:rPr>
        <w:lang w:val="mi-NZ"/>
      </w:rPr>
      <w:t>Australasian Journal of Technology Education, Vol 1</w:t>
    </w:r>
    <w:r w:rsidR="001D030B">
      <w:rPr>
        <w:lang w:val="mi-NZ"/>
      </w:rPr>
      <w:t>1</w:t>
    </w:r>
    <w:r>
      <w:rPr>
        <w:lang w:val="mi-NZ"/>
      </w:rPr>
      <w:t xml:space="preserve">, Special </w:t>
    </w:r>
    <w:r w:rsidR="00F77A62">
      <w:rPr>
        <w:lang w:val="mi-NZ"/>
      </w:rPr>
      <w:t>Issue</w:t>
    </w:r>
    <w:r>
      <w:rPr>
        <w:lang w:val="mi-NZ"/>
      </w:rPr>
      <w:t>, 202</w:t>
    </w:r>
    <w:r w:rsidR="001D030B">
      <w:rPr>
        <w:lang w:val="mi-NZ"/>
      </w:rPr>
      <w:t>6</w:t>
    </w:r>
    <w:r>
      <w:rPr>
        <w:lang w:val="mi-NZ"/>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35D0B4" w14:textId="77777777" w:rsidR="00247FAE" w:rsidRDefault="00247FAE" w:rsidP="0070239A">
      <w:pPr>
        <w:spacing w:line="240" w:lineRule="auto"/>
      </w:pPr>
      <w:r>
        <w:separator/>
      </w:r>
    </w:p>
  </w:footnote>
  <w:footnote w:type="continuationSeparator" w:id="0">
    <w:p w14:paraId="15A1C349" w14:textId="77777777" w:rsidR="00247FAE" w:rsidRDefault="00247FAE" w:rsidP="007023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BCE2D8" w14:textId="77777777" w:rsidR="0070239A" w:rsidRDefault="0070239A" w:rsidP="003F7F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DD5F31" w14:textId="77777777" w:rsidR="00017AAC" w:rsidRDefault="00017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E52A07" w14:textId="5F6BB4A2" w:rsidR="0070239A" w:rsidRDefault="007F7BE3">
    <w:pPr>
      <w:pStyle w:val="Header"/>
    </w:pPr>
    <w:r>
      <w:rPr>
        <w:noProof/>
        <w:lang w:eastAsia="en-AU"/>
      </w:rPr>
      <w:drawing>
        <wp:inline distT="0" distB="0" distL="0" distR="0" wp14:anchorId="41FD9BB2" wp14:editId="394AC445">
          <wp:extent cx="5399405" cy="1603375"/>
          <wp:effectExtent l="0" t="0" r="0" b="0"/>
          <wp:docPr id="1934406810" name="Picture 1993356083" descr="Page 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3356083" descr="Page Hea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9405" cy="1603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60722"/>
    <w:multiLevelType w:val="multilevel"/>
    <w:tmpl w:val="B1D4B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9867F19"/>
    <w:multiLevelType w:val="multilevel"/>
    <w:tmpl w:val="10DE7F6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9A50430"/>
    <w:multiLevelType w:val="hybridMultilevel"/>
    <w:tmpl w:val="A0BCFE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E5F6CB8"/>
    <w:multiLevelType w:val="multilevel"/>
    <w:tmpl w:val="0B7AB6F0"/>
    <w:lvl w:ilvl="0">
      <w:start w:val="1"/>
      <w:numFmt w:val="decimal"/>
      <w:lvlText w:val="%1."/>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15:restartNumberingAfterBreak="0">
    <w:nsid w:val="23E36D53"/>
    <w:multiLevelType w:val="multilevel"/>
    <w:tmpl w:val="C6809A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3DB20A5"/>
    <w:multiLevelType w:val="multilevel"/>
    <w:tmpl w:val="056E9F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4C0742"/>
    <w:multiLevelType w:val="multilevel"/>
    <w:tmpl w:val="10DE7F6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8FB44A2"/>
    <w:multiLevelType w:val="multilevel"/>
    <w:tmpl w:val="10DE7F6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E3251BD"/>
    <w:multiLevelType w:val="multilevel"/>
    <w:tmpl w:val="16005D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74F539F"/>
    <w:multiLevelType w:val="multilevel"/>
    <w:tmpl w:val="64E05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A445497"/>
    <w:multiLevelType w:val="multilevel"/>
    <w:tmpl w:val="E20EB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7F92F23"/>
    <w:multiLevelType w:val="multilevel"/>
    <w:tmpl w:val="0F987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23B34C8"/>
    <w:multiLevelType w:val="multilevel"/>
    <w:tmpl w:val="560457C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6BF13DFE"/>
    <w:multiLevelType w:val="multilevel"/>
    <w:tmpl w:val="560457CE"/>
    <w:styleLink w:val="CurrentList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BFE4EB6"/>
    <w:multiLevelType w:val="multilevel"/>
    <w:tmpl w:val="B83E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483D60"/>
    <w:multiLevelType w:val="hybridMultilevel"/>
    <w:tmpl w:val="B6C88C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BD74862"/>
    <w:multiLevelType w:val="multilevel"/>
    <w:tmpl w:val="3DC04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7032353">
    <w:abstractNumId w:val="5"/>
  </w:num>
  <w:num w:numId="2" w16cid:durableId="1809662543">
    <w:abstractNumId w:val="4"/>
  </w:num>
  <w:num w:numId="3" w16cid:durableId="1630239131">
    <w:abstractNumId w:val="3"/>
  </w:num>
  <w:num w:numId="4" w16cid:durableId="627973013">
    <w:abstractNumId w:val="0"/>
  </w:num>
  <w:num w:numId="5" w16cid:durableId="931932750">
    <w:abstractNumId w:val="16"/>
  </w:num>
  <w:num w:numId="6" w16cid:durableId="435448010">
    <w:abstractNumId w:val="8"/>
  </w:num>
  <w:num w:numId="7" w16cid:durableId="1640956488">
    <w:abstractNumId w:val="10"/>
  </w:num>
  <w:num w:numId="8" w16cid:durableId="465240564">
    <w:abstractNumId w:val="9"/>
  </w:num>
  <w:num w:numId="9" w16cid:durableId="1268392172">
    <w:abstractNumId w:val="11"/>
  </w:num>
  <w:num w:numId="10" w16cid:durableId="193811040">
    <w:abstractNumId w:val="12"/>
  </w:num>
  <w:num w:numId="11" w16cid:durableId="1943028099">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2" w16cid:durableId="49811766">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2104568056">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273947238">
    <w:abstractNumId w:val="15"/>
  </w:num>
  <w:num w:numId="15" w16cid:durableId="433401932">
    <w:abstractNumId w:val="6"/>
  </w:num>
  <w:num w:numId="16" w16cid:durableId="1880704082">
    <w:abstractNumId w:val="7"/>
  </w:num>
  <w:num w:numId="17" w16cid:durableId="2122457019">
    <w:abstractNumId w:val="13"/>
  </w:num>
  <w:num w:numId="18" w16cid:durableId="790978873">
    <w:abstractNumId w:val="1"/>
  </w:num>
  <w:num w:numId="19" w16cid:durableId="13279045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7A6"/>
    <w:rsid w:val="00007ABA"/>
    <w:rsid w:val="00017AAC"/>
    <w:rsid w:val="00036570"/>
    <w:rsid w:val="000C165F"/>
    <w:rsid w:val="000C3DA1"/>
    <w:rsid w:val="000E7BAE"/>
    <w:rsid w:val="000F5C6F"/>
    <w:rsid w:val="00100B7F"/>
    <w:rsid w:val="001011BF"/>
    <w:rsid w:val="00106B24"/>
    <w:rsid w:val="00141B22"/>
    <w:rsid w:val="0017262D"/>
    <w:rsid w:val="001B4353"/>
    <w:rsid w:val="001D030B"/>
    <w:rsid w:val="002133FA"/>
    <w:rsid w:val="00231304"/>
    <w:rsid w:val="00247FAE"/>
    <w:rsid w:val="00265483"/>
    <w:rsid w:val="0031499E"/>
    <w:rsid w:val="00330C5D"/>
    <w:rsid w:val="00355D18"/>
    <w:rsid w:val="0036111F"/>
    <w:rsid w:val="003E0637"/>
    <w:rsid w:val="003E0811"/>
    <w:rsid w:val="003F7F7F"/>
    <w:rsid w:val="00482A27"/>
    <w:rsid w:val="004D4937"/>
    <w:rsid w:val="004E1507"/>
    <w:rsid w:val="00502BAE"/>
    <w:rsid w:val="00521DC4"/>
    <w:rsid w:val="00536354"/>
    <w:rsid w:val="00546F22"/>
    <w:rsid w:val="00571FE2"/>
    <w:rsid w:val="00573411"/>
    <w:rsid w:val="005B0D24"/>
    <w:rsid w:val="005B26F3"/>
    <w:rsid w:val="005B412F"/>
    <w:rsid w:val="005D2FDE"/>
    <w:rsid w:val="0069435E"/>
    <w:rsid w:val="006D4291"/>
    <w:rsid w:val="0070239A"/>
    <w:rsid w:val="007567A6"/>
    <w:rsid w:val="00790065"/>
    <w:rsid w:val="00794803"/>
    <w:rsid w:val="007F7BE3"/>
    <w:rsid w:val="00871C06"/>
    <w:rsid w:val="00883A3A"/>
    <w:rsid w:val="00894985"/>
    <w:rsid w:val="008A13E0"/>
    <w:rsid w:val="008F4939"/>
    <w:rsid w:val="00901BF2"/>
    <w:rsid w:val="00905616"/>
    <w:rsid w:val="009174ED"/>
    <w:rsid w:val="0093077E"/>
    <w:rsid w:val="009678F6"/>
    <w:rsid w:val="00967A06"/>
    <w:rsid w:val="00967FF4"/>
    <w:rsid w:val="00991F5D"/>
    <w:rsid w:val="009F64BC"/>
    <w:rsid w:val="00A25CDA"/>
    <w:rsid w:val="00A36139"/>
    <w:rsid w:val="00A53373"/>
    <w:rsid w:val="00A55751"/>
    <w:rsid w:val="00A733A1"/>
    <w:rsid w:val="00AA78FD"/>
    <w:rsid w:val="00AC4514"/>
    <w:rsid w:val="00AE477A"/>
    <w:rsid w:val="00B16FA8"/>
    <w:rsid w:val="00B2438D"/>
    <w:rsid w:val="00B67F77"/>
    <w:rsid w:val="00B91A72"/>
    <w:rsid w:val="00BD10C8"/>
    <w:rsid w:val="00CD3BF4"/>
    <w:rsid w:val="00D255A7"/>
    <w:rsid w:val="00D44D05"/>
    <w:rsid w:val="00D52B2A"/>
    <w:rsid w:val="00DF22AA"/>
    <w:rsid w:val="00E44EDF"/>
    <w:rsid w:val="00E467CB"/>
    <w:rsid w:val="00E72B61"/>
    <w:rsid w:val="00E95E2E"/>
    <w:rsid w:val="00EA4396"/>
    <w:rsid w:val="00EC53E8"/>
    <w:rsid w:val="00EF5D00"/>
    <w:rsid w:val="00F378F3"/>
    <w:rsid w:val="00F67C80"/>
    <w:rsid w:val="00F725D3"/>
    <w:rsid w:val="00F73CDF"/>
    <w:rsid w:val="00F77A62"/>
    <w:rsid w:val="00F979E2"/>
    <w:rsid w:val="00FA2C9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AD02"/>
  <w15:docId w15:val="{BAB153DA-D9E7-FC40-B79C-2809D3CE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90065"/>
    <w:pPr>
      <w:spacing w:before="280" w:after="80"/>
      <w:outlineLvl w:val="0"/>
    </w:pPr>
    <w:rPr>
      <w:rFonts w:eastAsia="Trebuchet MS"/>
      <w:b/>
      <w:bCs/>
    </w:rPr>
  </w:style>
  <w:style w:type="paragraph" w:styleId="Heading2">
    <w:name w:val="heading 2"/>
    <w:basedOn w:val="Normal"/>
    <w:next w:val="Normal"/>
    <w:uiPriority w:val="9"/>
    <w:unhideWhenUsed/>
    <w:qFormat/>
    <w:rsid w:val="00790065"/>
    <w:pPr>
      <w:keepNext/>
      <w:keepLines/>
      <w:spacing w:before="200"/>
      <w:outlineLvl w:val="1"/>
    </w:pPr>
    <w:rPr>
      <w:rFonts w:eastAsia="Trebuchet MS"/>
      <w:b/>
    </w:rPr>
  </w:style>
  <w:style w:type="paragraph" w:styleId="Heading3">
    <w:name w:val="heading 3"/>
    <w:basedOn w:val="Heading2"/>
    <w:next w:val="Normal"/>
    <w:uiPriority w:val="9"/>
    <w:unhideWhenUsed/>
    <w:qFormat/>
    <w:rsid w:val="00790065"/>
    <w:pPr>
      <w:keepNext w:val="0"/>
      <w:keepLines w:val="0"/>
      <w:spacing w:before="240" w:after="40"/>
      <w:outlineLvl w:val="2"/>
    </w:pPr>
    <w:rPr>
      <w:i/>
      <w:iCs/>
    </w:rPr>
  </w:style>
  <w:style w:type="paragraph" w:styleId="Heading4">
    <w:name w:val="heading 4"/>
    <w:basedOn w:val="Normal"/>
    <w:next w:val="Normal"/>
    <w:uiPriority w:val="9"/>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0239A"/>
    <w:pPr>
      <w:tabs>
        <w:tab w:val="center" w:pos="4513"/>
        <w:tab w:val="right" w:pos="9026"/>
      </w:tabs>
      <w:spacing w:line="240" w:lineRule="auto"/>
    </w:pPr>
  </w:style>
  <w:style w:type="character" w:customStyle="1" w:styleId="HeaderChar">
    <w:name w:val="Header Char"/>
    <w:basedOn w:val="DefaultParagraphFont"/>
    <w:link w:val="Header"/>
    <w:uiPriority w:val="99"/>
    <w:rsid w:val="0070239A"/>
  </w:style>
  <w:style w:type="paragraph" w:styleId="Footer">
    <w:name w:val="footer"/>
    <w:basedOn w:val="Normal"/>
    <w:link w:val="FooterChar"/>
    <w:uiPriority w:val="99"/>
    <w:unhideWhenUsed/>
    <w:rsid w:val="0070239A"/>
    <w:pPr>
      <w:tabs>
        <w:tab w:val="center" w:pos="4513"/>
        <w:tab w:val="right" w:pos="9026"/>
      </w:tabs>
      <w:spacing w:line="240" w:lineRule="auto"/>
    </w:pPr>
  </w:style>
  <w:style w:type="character" w:customStyle="1" w:styleId="FooterChar">
    <w:name w:val="Footer Char"/>
    <w:basedOn w:val="DefaultParagraphFont"/>
    <w:link w:val="Footer"/>
    <w:uiPriority w:val="99"/>
    <w:rsid w:val="0070239A"/>
  </w:style>
  <w:style w:type="character" w:styleId="Hyperlink">
    <w:name w:val="Hyperlink"/>
    <w:basedOn w:val="DefaultParagraphFont"/>
    <w:uiPriority w:val="99"/>
    <w:unhideWhenUsed/>
    <w:rsid w:val="001B4353"/>
    <w:rPr>
      <w:color w:val="467886"/>
      <w:u w:val="single"/>
    </w:rPr>
  </w:style>
  <w:style w:type="character" w:styleId="FollowedHyperlink">
    <w:name w:val="FollowedHyperlink"/>
    <w:basedOn w:val="DefaultParagraphFont"/>
    <w:uiPriority w:val="99"/>
    <w:semiHidden/>
    <w:unhideWhenUsed/>
    <w:rsid w:val="001B4353"/>
    <w:rPr>
      <w:color w:val="96607D"/>
      <w:u w:val="single"/>
    </w:rPr>
  </w:style>
  <w:style w:type="paragraph" w:customStyle="1" w:styleId="msonormal0">
    <w:name w:val="msonormal"/>
    <w:basedOn w:val="Normal"/>
    <w:rsid w:val="001B4353"/>
    <w:pPr>
      <w:spacing w:before="100" w:beforeAutospacing="1" w:after="100" w:afterAutospacing="1" w:line="240" w:lineRule="auto"/>
    </w:pPr>
    <w:rPr>
      <w:rFonts w:ascii="Times New Roman" w:eastAsia="Times New Roman" w:hAnsi="Times New Roman" w:cs="Times New Roman"/>
      <w:sz w:val="24"/>
      <w:szCs w:val="24"/>
      <w:lang w:val="en-AU"/>
    </w:rPr>
  </w:style>
  <w:style w:type="paragraph" w:customStyle="1" w:styleId="xl65">
    <w:name w:val="xl65"/>
    <w:basedOn w:val="Normal"/>
    <w:rsid w:val="001B4353"/>
    <w:pPr>
      <w:spacing w:before="100" w:beforeAutospacing="1" w:after="100" w:afterAutospacing="1" w:line="240" w:lineRule="auto"/>
    </w:pPr>
    <w:rPr>
      <w:rFonts w:eastAsia="Times New Roman"/>
      <w:sz w:val="20"/>
      <w:szCs w:val="20"/>
      <w:lang w:val="en-AU"/>
    </w:rPr>
  </w:style>
  <w:style w:type="paragraph" w:customStyle="1" w:styleId="xl66">
    <w:name w:val="xl66"/>
    <w:basedOn w:val="Normal"/>
    <w:rsid w:val="001B4353"/>
    <w:pPr>
      <w:spacing w:before="100" w:beforeAutospacing="1" w:after="100" w:afterAutospacing="1" w:line="240" w:lineRule="auto"/>
    </w:pPr>
    <w:rPr>
      <w:rFonts w:eastAsia="Times New Roman"/>
      <w:b/>
      <w:bCs/>
      <w:sz w:val="20"/>
      <w:szCs w:val="20"/>
      <w:lang w:val="en-AU"/>
    </w:rPr>
  </w:style>
  <w:style w:type="paragraph" w:customStyle="1" w:styleId="xl67">
    <w:name w:val="xl67"/>
    <w:basedOn w:val="Normal"/>
    <w:rsid w:val="001B4353"/>
    <w:pPr>
      <w:spacing w:before="100" w:beforeAutospacing="1" w:after="100" w:afterAutospacing="1" w:line="240" w:lineRule="auto"/>
    </w:pPr>
    <w:rPr>
      <w:rFonts w:ascii="Google Sans" w:eastAsia="Times New Roman" w:hAnsi="Google Sans" w:cs="Times New Roman"/>
      <w:b/>
      <w:bCs/>
      <w:color w:val="1F1F1F"/>
      <w:lang w:val="en-AU"/>
    </w:rPr>
  </w:style>
  <w:style w:type="paragraph" w:customStyle="1" w:styleId="xl68">
    <w:name w:val="xl68"/>
    <w:basedOn w:val="Normal"/>
    <w:rsid w:val="001B4353"/>
    <w:pPr>
      <w:spacing w:before="100" w:beforeAutospacing="1" w:after="100" w:afterAutospacing="1" w:line="240" w:lineRule="auto"/>
    </w:pPr>
    <w:rPr>
      <w:rFonts w:eastAsia="Times New Roman"/>
      <w:b/>
      <w:bCs/>
      <w:color w:val="AF4105"/>
      <w:sz w:val="20"/>
      <w:szCs w:val="20"/>
      <w:lang w:val="en-AU"/>
    </w:rPr>
  </w:style>
  <w:style w:type="paragraph" w:customStyle="1" w:styleId="xl69">
    <w:name w:val="xl69"/>
    <w:basedOn w:val="Normal"/>
    <w:rsid w:val="001B4353"/>
    <w:pPr>
      <w:spacing w:before="100" w:beforeAutospacing="1" w:after="100" w:afterAutospacing="1" w:line="240" w:lineRule="auto"/>
    </w:pPr>
    <w:rPr>
      <w:rFonts w:eastAsia="Times New Roman"/>
      <w:color w:val="9900FF"/>
      <w:sz w:val="20"/>
      <w:szCs w:val="20"/>
      <w:lang w:val="en-AU"/>
    </w:rPr>
  </w:style>
  <w:style w:type="paragraph" w:customStyle="1" w:styleId="xl70">
    <w:name w:val="xl70"/>
    <w:basedOn w:val="Normal"/>
    <w:rsid w:val="001B4353"/>
    <w:pPr>
      <w:spacing w:before="100" w:beforeAutospacing="1" w:after="100" w:afterAutospacing="1" w:line="240" w:lineRule="auto"/>
    </w:pPr>
    <w:rPr>
      <w:rFonts w:eastAsia="Times New Roman"/>
      <w:color w:val="38761D"/>
      <w:sz w:val="20"/>
      <w:szCs w:val="20"/>
      <w:lang w:val="en-AU"/>
    </w:rPr>
  </w:style>
  <w:style w:type="paragraph" w:customStyle="1" w:styleId="xl71">
    <w:name w:val="xl71"/>
    <w:basedOn w:val="Normal"/>
    <w:rsid w:val="001B4353"/>
    <w:pPr>
      <w:spacing w:before="100" w:beforeAutospacing="1" w:after="100" w:afterAutospacing="1" w:line="240" w:lineRule="auto"/>
    </w:pPr>
    <w:rPr>
      <w:rFonts w:eastAsia="Times New Roman"/>
      <w:color w:val="FF0000"/>
      <w:sz w:val="20"/>
      <w:szCs w:val="20"/>
      <w:lang w:val="en-AU"/>
    </w:rPr>
  </w:style>
  <w:style w:type="paragraph" w:customStyle="1" w:styleId="xl72">
    <w:name w:val="xl72"/>
    <w:basedOn w:val="Normal"/>
    <w:rsid w:val="001B4353"/>
    <w:pPr>
      <w:spacing w:before="100" w:beforeAutospacing="1" w:after="100" w:afterAutospacing="1" w:line="240" w:lineRule="auto"/>
    </w:pPr>
    <w:rPr>
      <w:rFonts w:eastAsia="Times New Roman"/>
      <w:color w:val="FF00FF"/>
      <w:sz w:val="20"/>
      <w:szCs w:val="20"/>
      <w:lang w:val="en-AU"/>
    </w:rPr>
  </w:style>
  <w:style w:type="paragraph" w:styleId="NormalWeb">
    <w:name w:val="Normal (Web)"/>
    <w:basedOn w:val="Normal"/>
    <w:uiPriority w:val="99"/>
    <w:unhideWhenUsed/>
    <w:rsid w:val="009F64BC"/>
    <w:pPr>
      <w:spacing w:before="100" w:beforeAutospacing="1" w:after="100" w:afterAutospacing="1" w:line="240" w:lineRule="auto"/>
    </w:pPr>
    <w:rPr>
      <w:rFonts w:ascii="Times New Roman" w:eastAsia="Times New Roman" w:hAnsi="Times New Roman" w:cs="Times New Roman"/>
      <w:sz w:val="24"/>
      <w:szCs w:val="24"/>
      <w:lang w:val="en-AU"/>
    </w:rPr>
  </w:style>
  <w:style w:type="paragraph" w:styleId="ListParagraph">
    <w:name w:val="List Paragraph"/>
    <w:basedOn w:val="Normal"/>
    <w:uiPriority w:val="34"/>
    <w:qFormat/>
    <w:rsid w:val="005D2FDE"/>
    <w:pPr>
      <w:ind w:left="720"/>
      <w:contextualSpacing/>
    </w:pPr>
  </w:style>
  <w:style w:type="numbering" w:customStyle="1" w:styleId="CurrentList1">
    <w:name w:val="Current List1"/>
    <w:uiPriority w:val="99"/>
    <w:rsid w:val="00F67C80"/>
    <w:pPr>
      <w:numPr>
        <w:numId w:val="17"/>
      </w:numPr>
    </w:pPr>
  </w:style>
  <w:style w:type="character" w:styleId="PageNumber">
    <w:name w:val="page number"/>
    <w:basedOn w:val="DefaultParagraphFont"/>
    <w:uiPriority w:val="99"/>
    <w:semiHidden/>
    <w:unhideWhenUsed/>
    <w:rsid w:val="003F7F7F"/>
  </w:style>
  <w:style w:type="character" w:styleId="UnresolvedMention">
    <w:name w:val="Unresolved Mention"/>
    <w:basedOn w:val="DefaultParagraphFont"/>
    <w:uiPriority w:val="99"/>
    <w:semiHidden/>
    <w:unhideWhenUsed/>
    <w:rsid w:val="003F7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71698">
      <w:marLeft w:val="0"/>
      <w:marRight w:val="0"/>
      <w:marTop w:val="0"/>
      <w:marBottom w:val="0"/>
      <w:divBdr>
        <w:top w:val="none" w:sz="0" w:space="0" w:color="auto"/>
        <w:left w:val="none" w:sz="0" w:space="0" w:color="auto"/>
        <w:bottom w:val="none" w:sz="0" w:space="0" w:color="auto"/>
        <w:right w:val="none" w:sz="0" w:space="0" w:color="auto"/>
      </w:divBdr>
      <w:divsChild>
        <w:div w:id="311643498">
          <w:marLeft w:val="0"/>
          <w:marRight w:val="0"/>
          <w:marTop w:val="0"/>
          <w:marBottom w:val="0"/>
          <w:divBdr>
            <w:top w:val="none" w:sz="0" w:space="0" w:color="auto"/>
            <w:left w:val="none" w:sz="0" w:space="0" w:color="auto"/>
            <w:bottom w:val="none" w:sz="0" w:space="0" w:color="auto"/>
            <w:right w:val="none" w:sz="0" w:space="0" w:color="auto"/>
          </w:divBdr>
        </w:div>
      </w:divsChild>
    </w:div>
    <w:div w:id="143862935">
      <w:marLeft w:val="0"/>
      <w:marRight w:val="0"/>
      <w:marTop w:val="0"/>
      <w:marBottom w:val="0"/>
      <w:divBdr>
        <w:top w:val="none" w:sz="0" w:space="0" w:color="auto"/>
        <w:left w:val="none" w:sz="0" w:space="0" w:color="auto"/>
        <w:bottom w:val="none" w:sz="0" w:space="0" w:color="auto"/>
        <w:right w:val="none" w:sz="0" w:space="0" w:color="auto"/>
      </w:divBdr>
      <w:divsChild>
        <w:div w:id="370804360">
          <w:marLeft w:val="0"/>
          <w:marRight w:val="0"/>
          <w:marTop w:val="0"/>
          <w:marBottom w:val="0"/>
          <w:divBdr>
            <w:top w:val="none" w:sz="0" w:space="0" w:color="auto"/>
            <w:left w:val="none" w:sz="0" w:space="0" w:color="auto"/>
            <w:bottom w:val="none" w:sz="0" w:space="0" w:color="auto"/>
            <w:right w:val="none" w:sz="0" w:space="0" w:color="auto"/>
          </w:divBdr>
        </w:div>
      </w:divsChild>
    </w:div>
    <w:div w:id="152651722">
      <w:marLeft w:val="0"/>
      <w:marRight w:val="0"/>
      <w:marTop w:val="0"/>
      <w:marBottom w:val="0"/>
      <w:divBdr>
        <w:top w:val="none" w:sz="0" w:space="0" w:color="auto"/>
        <w:left w:val="none" w:sz="0" w:space="0" w:color="auto"/>
        <w:bottom w:val="none" w:sz="0" w:space="0" w:color="auto"/>
        <w:right w:val="none" w:sz="0" w:space="0" w:color="auto"/>
      </w:divBdr>
      <w:divsChild>
        <w:div w:id="1687443766">
          <w:marLeft w:val="0"/>
          <w:marRight w:val="0"/>
          <w:marTop w:val="0"/>
          <w:marBottom w:val="0"/>
          <w:divBdr>
            <w:top w:val="none" w:sz="0" w:space="0" w:color="auto"/>
            <w:left w:val="none" w:sz="0" w:space="0" w:color="auto"/>
            <w:bottom w:val="none" w:sz="0" w:space="0" w:color="auto"/>
            <w:right w:val="none" w:sz="0" w:space="0" w:color="auto"/>
          </w:divBdr>
        </w:div>
      </w:divsChild>
    </w:div>
    <w:div w:id="201330787">
      <w:marLeft w:val="0"/>
      <w:marRight w:val="0"/>
      <w:marTop w:val="0"/>
      <w:marBottom w:val="0"/>
      <w:divBdr>
        <w:top w:val="none" w:sz="0" w:space="0" w:color="auto"/>
        <w:left w:val="none" w:sz="0" w:space="0" w:color="auto"/>
        <w:bottom w:val="none" w:sz="0" w:space="0" w:color="auto"/>
        <w:right w:val="none" w:sz="0" w:space="0" w:color="auto"/>
      </w:divBdr>
      <w:divsChild>
        <w:div w:id="1616209831">
          <w:marLeft w:val="0"/>
          <w:marRight w:val="0"/>
          <w:marTop w:val="0"/>
          <w:marBottom w:val="0"/>
          <w:divBdr>
            <w:top w:val="none" w:sz="0" w:space="0" w:color="auto"/>
            <w:left w:val="none" w:sz="0" w:space="0" w:color="auto"/>
            <w:bottom w:val="none" w:sz="0" w:space="0" w:color="auto"/>
            <w:right w:val="none" w:sz="0" w:space="0" w:color="auto"/>
          </w:divBdr>
        </w:div>
      </w:divsChild>
    </w:div>
    <w:div w:id="267474226">
      <w:marLeft w:val="0"/>
      <w:marRight w:val="0"/>
      <w:marTop w:val="0"/>
      <w:marBottom w:val="0"/>
      <w:divBdr>
        <w:top w:val="none" w:sz="0" w:space="0" w:color="auto"/>
        <w:left w:val="none" w:sz="0" w:space="0" w:color="auto"/>
        <w:bottom w:val="none" w:sz="0" w:space="0" w:color="auto"/>
        <w:right w:val="none" w:sz="0" w:space="0" w:color="auto"/>
      </w:divBdr>
      <w:divsChild>
        <w:div w:id="1757088282">
          <w:marLeft w:val="0"/>
          <w:marRight w:val="0"/>
          <w:marTop w:val="0"/>
          <w:marBottom w:val="0"/>
          <w:divBdr>
            <w:top w:val="none" w:sz="0" w:space="0" w:color="auto"/>
            <w:left w:val="none" w:sz="0" w:space="0" w:color="auto"/>
            <w:bottom w:val="none" w:sz="0" w:space="0" w:color="auto"/>
            <w:right w:val="none" w:sz="0" w:space="0" w:color="auto"/>
          </w:divBdr>
        </w:div>
      </w:divsChild>
    </w:div>
    <w:div w:id="324826033">
      <w:marLeft w:val="0"/>
      <w:marRight w:val="0"/>
      <w:marTop w:val="0"/>
      <w:marBottom w:val="0"/>
      <w:divBdr>
        <w:top w:val="none" w:sz="0" w:space="0" w:color="auto"/>
        <w:left w:val="none" w:sz="0" w:space="0" w:color="auto"/>
        <w:bottom w:val="none" w:sz="0" w:space="0" w:color="auto"/>
        <w:right w:val="none" w:sz="0" w:space="0" w:color="auto"/>
      </w:divBdr>
      <w:divsChild>
        <w:div w:id="1157116108">
          <w:marLeft w:val="0"/>
          <w:marRight w:val="0"/>
          <w:marTop w:val="0"/>
          <w:marBottom w:val="0"/>
          <w:divBdr>
            <w:top w:val="none" w:sz="0" w:space="0" w:color="auto"/>
            <w:left w:val="none" w:sz="0" w:space="0" w:color="auto"/>
            <w:bottom w:val="none" w:sz="0" w:space="0" w:color="auto"/>
            <w:right w:val="none" w:sz="0" w:space="0" w:color="auto"/>
          </w:divBdr>
        </w:div>
      </w:divsChild>
    </w:div>
    <w:div w:id="347950665">
      <w:bodyDiv w:val="1"/>
      <w:marLeft w:val="0"/>
      <w:marRight w:val="0"/>
      <w:marTop w:val="0"/>
      <w:marBottom w:val="0"/>
      <w:divBdr>
        <w:top w:val="none" w:sz="0" w:space="0" w:color="auto"/>
        <w:left w:val="none" w:sz="0" w:space="0" w:color="auto"/>
        <w:bottom w:val="none" w:sz="0" w:space="0" w:color="auto"/>
        <w:right w:val="none" w:sz="0" w:space="0" w:color="auto"/>
      </w:divBdr>
      <w:divsChild>
        <w:div w:id="1196432179">
          <w:marLeft w:val="0"/>
          <w:marRight w:val="0"/>
          <w:marTop w:val="0"/>
          <w:marBottom w:val="0"/>
          <w:divBdr>
            <w:top w:val="none" w:sz="0" w:space="0" w:color="auto"/>
            <w:left w:val="none" w:sz="0" w:space="0" w:color="auto"/>
            <w:bottom w:val="none" w:sz="0" w:space="0" w:color="auto"/>
            <w:right w:val="none" w:sz="0" w:space="0" w:color="auto"/>
          </w:divBdr>
          <w:divsChild>
            <w:div w:id="5174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38552">
      <w:marLeft w:val="0"/>
      <w:marRight w:val="0"/>
      <w:marTop w:val="0"/>
      <w:marBottom w:val="0"/>
      <w:divBdr>
        <w:top w:val="none" w:sz="0" w:space="0" w:color="auto"/>
        <w:left w:val="none" w:sz="0" w:space="0" w:color="auto"/>
        <w:bottom w:val="none" w:sz="0" w:space="0" w:color="auto"/>
        <w:right w:val="none" w:sz="0" w:space="0" w:color="auto"/>
      </w:divBdr>
      <w:divsChild>
        <w:div w:id="1288197537">
          <w:marLeft w:val="0"/>
          <w:marRight w:val="0"/>
          <w:marTop w:val="0"/>
          <w:marBottom w:val="0"/>
          <w:divBdr>
            <w:top w:val="none" w:sz="0" w:space="0" w:color="auto"/>
            <w:left w:val="none" w:sz="0" w:space="0" w:color="auto"/>
            <w:bottom w:val="none" w:sz="0" w:space="0" w:color="auto"/>
            <w:right w:val="none" w:sz="0" w:space="0" w:color="auto"/>
          </w:divBdr>
        </w:div>
      </w:divsChild>
    </w:div>
    <w:div w:id="437258411">
      <w:marLeft w:val="0"/>
      <w:marRight w:val="0"/>
      <w:marTop w:val="0"/>
      <w:marBottom w:val="0"/>
      <w:divBdr>
        <w:top w:val="none" w:sz="0" w:space="0" w:color="auto"/>
        <w:left w:val="none" w:sz="0" w:space="0" w:color="auto"/>
        <w:bottom w:val="none" w:sz="0" w:space="0" w:color="auto"/>
        <w:right w:val="none" w:sz="0" w:space="0" w:color="auto"/>
      </w:divBdr>
      <w:divsChild>
        <w:div w:id="1879779194">
          <w:marLeft w:val="0"/>
          <w:marRight w:val="0"/>
          <w:marTop w:val="0"/>
          <w:marBottom w:val="0"/>
          <w:divBdr>
            <w:top w:val="none" w:sz="0" w:space="0" w:color="auto"/>
            <w:left w:val="none" w:sz="0" w:space="0" w:color="auto"/>
            <w:bottom w:val="none" w:sz="0" w:space="0" w:color="auto"/>
            <w:right w:val="none" w:sz="0" w:space="0" w:color="auto"/>
          </w:divBdr>
        </w:div>
      </w:divsChild>
    </w:div>
    <w:div w:id="458107482">
      <w:marLeft w:val="0"/>
      <w:marRight w:val="0"/>
      <w:marTop w:val="0"/>
      <w:marBottom w:val="0"/>
      <w:divBdr>
        <w:top w:val="none" w:sz="0" w:space="0" w:color="auto"/>
        <w:left w:val="none" w:sz="0" w:space="0" w:color="auto"/>
        <w:bottom w:val="none" w:sz="0" w:space="0" w:color="auto"/>
        <w:right w:val="none" w:sz="0" w:space="0" w:color="auto"/>
      </w:divBdr>
      <w:divsChild>
        <w:div w:id="1994681232">
          <w:marLeft w:val="0"/>
          <w:marRight w:val="0"/>
          <w:marTop w:val="0"/>
          <w:marBottom w:val="0"/>
          <w:divBdr>
            <w:top w:val="none" w:sz="0" w:space="0" w:color="auto"/>
            <w:left w:val="none" w:sz="0" w:space="0" w:color="auto"/>
            <w:bottom w:val="none" w:sz="0" w:space="0" w:color="auto"/>
            <w:right w:val="none" w:sz="0" w:space="0" w:color="auto"/>
          </w:divBdr>
        </w:div>
      </w:divsChild>
    </w:div>
    <w:div w:id="471027022">
      <w:marLeft w:val="0"/>
      <w:marRight w:val="0"/>
      <w:marTop w:val="0"/>
      <w:marBottom w:val="0"/>
      <w:divBdr>
        <w:top w:val="none" w:sz="0" w:space="0" w:color="auto"/>
        <w:left w:val="none" w:sz="0" w:space="0" w:color="auto"/>
        <w:bottom w:val="none" w:sz="0" w:space="0" w:color="auto"/>
        <w:right w:val="none" w:sz="0" w:space="0" w:color="auto"/>
      </w:divBdr>
      <w:divsChild>
        <w:div w:id="409936018">
          <w:marLeft w:val="0"/>
          <w:marRight w:val="0"/>
          <w:marTop w:val="0"/>
          <w:marBottom w:val="0"/>
          <w:divBdr>
            <w:top w:val="none" w:sz="0" w:space="0" w:color="auto"/>
            <w:left w:val="none" w:sz="0" w:space="0" w:color="auto"/>
            <w:bottom w:val="none" w:sz="0" w:space="0" w:color="auto"/>
            <w:right w:val="none" w:sz="0" w:space="0" w:color="auto"/>
          </w:divBdr>
        </w:div>
      </w:divsChild>
    </w:div>
    <w:div w:id="602998999">
      <w:marLeft w:val="0"/>
      <w:marRight w:val="0"/>
      <w:marTop w:val="0"/>
      <w:marBottom w:val="0"/>
      <w:divBdr>
        <w:top w:val="none" w:sz="0" w:space="0" w:color="auto"/>
        <w:left w:val="none" w:sz="0" w:space="0" w:color="auto"/>
        <w:bottom w:val="none" w:sz="0" w:space="0" w:color="auto"/>
        <w:right w:val="none" w:sz="0" w:space="0" w:color="auto"/>
      </w:divBdr>
      <w:divsChild>
        <w:div w:id="1454865291">
          <w:marLeft w:val="0"/>
          <w:marRight w:val="0"/>
          <w:marTop w:val="0"/>
          <w:marBottom w:val="0"/>
          <w:divBdr>
            <w:top w:val="none" w:sz="0" w:space="0" w:color="auto"/>
            <w:left w:val="none" w:sz="0" w:space="0" w:color="auto"/>
            <w:bottom w:val="none" w:sz="0" w:space="0" w:color="auto"/>
            <w:right w:val="none" w:sz="0" w:space="0" w:color="auto"/>
          </w:divBdr>
        </w:div>
      </w:divsChild>
    </w:div>
    <w:div w:id="639843426">
      <w:marLeft w:val="0"/>
      <w:marRight w:val="0"/>
      <w:marTop w:val="0"/>
      <w:marBottom w:val="0"/>
      <w:divBdr>
        <w:top w:val="none" w:sz="0" w:space="0" w:color="auto"/>
        <w:left w:val="none" w:sz="0" w:space="0" w:color="auto"/>
        <w:bottom w:val="none" w:sz="0" w:space="0" w:color="auto"/>
        <w:right w:val="none" w:sz="0" w:space="0" w:color="auto"/>
      </w:divBdr>
      <w:divsChild>
        <w:div w:id="1283417793">
          <w:marLeft w:val="0"/>
          <w:marRight w:val="0"/>
          <w:marTop w:val="0"/>
          <w:marBottom w:val="0"/>
          <w:divBdr>
            <w:top w:val="none" w:sz="0" w:space="0" w:color="auto"/>
            <w:left w:val="none" w:sz="0" w:space="0" w:color="auto"/>
            <w:bottom w:val="none" w:sz="0" w:space="0" w:color="auto"/>
            <w:right w:val="none" w:sz="0" w:space="0" w:color="auto"/>
          </w:divBdr>
        </w:div>
      </w:divsChild>
    </w:div>
    <w:div w:id="665867852">
      <w:bodyDiv w:val="1"/>
      <w:marLeft w:val="0"/>
      <w:marRight w:val="0"/>
      <w:marTop w:val="0"/>
      <w:marBottom w:val="0"/>
      <w:divBdr>
        <w:top w:val="none" w:sz="0" w:space="0" w:color="auto"/>
        <w:left w:val="none" w:sz="0" w:space="0" w:color="auto"/>
        <w:bottom w:val="none" w:sz="0" w:space="0" w:color="auto"/>
        <w:right w:val="none" w:sz="0" w:space="0" w:color="auto"/>
      </w:divBdr>
      <w:divsChild>
        <w:div w:id="13651094">
          <w:marLeft w:val="0"/>
          <w:marRight w:val="0"/>
          <w:marTop w:val="0"/>
          <w:marBottom w:val="0"/>
          <w:divBdr>
            <w:top w:val="none" w:sz="0" w:space="0" w:color="auto"/>
            <w:left w:val="none" w:sz="0" w:space="0" w:color="auto"/>
            <w:bottom w:val="none" w:sz="0" w:space="0" w:color="auto"/>
            <w:right w:val="none" w:sz="0" w:space="0" w:color="auto"/>
          </w:divBdr>
          <w:divsChild>
            <w:div w:id="8949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55223">
      <w:bodyDiv w:val="1"/>
      <w:marLeft w:val="0"/>
      <w:marRight w:val="0"/>
      <w:marTop w:val="0"/>
      <w:marBottom w:val="0"/>
      <w:divBdr>
        <w:top w:val="none" w:sz="0" w:space="0" w:color="auto"/>
        <w:left w:val="none" w:sz="0" w:space="0" w:color="auto"/>
        <w:bottom w:val="none" w:sz="0" w:space="0" w:color="auto"/>
        <w:right w:val="none" w:sz="0" w:space="0" w:color="auto"/>
      </w:divBdr>
      <w:divsChild>
        <w:div w:id="212886923">
          <w:marLeft w:val="0"/>
          <w:marRight w:val="0"/>
          <w:marTop w:val="0"/>
          <w:marBottom w:val="0"/>
          <w:divBdr>
            <w:top w:val="none" w:sz="0" w:space="0" w:color="auto"/>
            <w:left w:val="none" w:sz="0" w:space="0" w:color="auto"/>
            <w:bottom w:val="none" w:sz="0" w:space="0" w:color="auto"/>
            <w:right w:val="none" w:sz="0" w:space="0" w:color="auto"/>
          </w:divBdr>
          <w:divsChild>
            <w:div w:id="122842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4300">
      <w:marLeft w:val="0"/>
      <w:marRight w:val="0"/>
      <w:marTop w:val="0"/>
      <w:marBottom w:val="0"/>
      <w:divBdr>
        <w:top w:val="none" w:sz="0" w:space="0" w:color="auto"/>
        <w:left w:val="none" w:sz="0" w:space="0" w:color="auto"/>
        <w:bottom w:val="none" w:sz="0" w:space="0" w:color="auto"/>
        <w:right w:val="none" w:sz="0" w:space="0" w:color="auto"/>
      </w:divBdr>
      <w:divsChild>
        <w:div w:id="635332586">
          <w:marLeft w:val="0"/>
          <w:marRight w:val="0"/>
          <w:marTop w:val="0"/>
          <w:marBottom w:val="0"/>
          <w:divBdr>
            <w:top w:val="none" w:sz="0" w:space="0" w:color="auto"/>
            <w:left w:val="none" w:sz="0" w:space="0" w:color="auto"/>
            <w:bottom w:val="none" w:sz="0" w:space="0" w:color="auto"/>
            <w:right w:val="none" w:sz="0" w:space="0" w:color="auto"/>
          </w:divBdr>
        </w:div>
      </w:divsChild>
    </w:div>
    <w:div w:id="716392054">
      <w:marLeft w:val="0"/>
      <w:marRight w:val="0"/>
      <w:marTop w:val="0"/>
      <w:marBottom w:val="0"/>
      <w:divBdr>
        <w:top w:val="none" w:sz="0" w:space="0" w:color="auto"/>
        <w:left w:val="none" w:sz="0" w:space="0" w:color="auto"/>
        <w:bottom w:val="none" w:sz="0" w:space="0" w:color="auto"/>
        <w:right w:val="none" w:sz="0" w:space="0" w:color="auto"/>
      </w:divBdr>
      <w:divsChild>
        <w:div w:id="1861118547">
          <w:marLeft w:val="0"/>
          <w:marRight w:val="0"/>
          <w:marTop w:val="0"/>
          <w:marBottom w:val="0"/>
          <w:divBdr>
            <w:top w:val="none" w:sz="0" w:space="0" w:color="auto"/>
            <w:left w:val="none" w:sz="0" w:space="0" w:color="auto"/>
            <w:bottom w:val="none" w:sz="0" w:space="0" w:color="auto"/>
            <w:right w:val="none" w:sz="0" w:space="0" w:color="auto"/>
          </w:divBdr>
        </w:div>
      </w:divsChild>
    </w:div>
    <w:div w:id="747187974">
      <w:bodyDiv w:val="1"/>
      <w:marLeft w:val="0"/>
      <w:marRight w:val="0"/>
      <w:marTop w:val="0"/>
      <w:marBottom w:val="0"/>
      <w:divBdr>
        <w:top w:val="none" w:sz="0" w:space="0" w:color="auto"/>
        <w:left w:val="none" w:sz="0" w:space="0" w:color="auto"/>
        <w:bottom w:val="none" w:sz="0" w:space="0" w:color="auto"/>
        <w:right w:val="none" w:sz="0" w:space="0" w:color="auto"/>
      </w:divBdr>
    </w:div>
    <w:div w:id="760762651">
      <w:marLeft w:val="0"/>
      <w:marRight w:val="0"/>
      <w:marTop w:val="0"/>
      <w:marBottom w:val="0"/>
      <w:divBdr>
        <w:top w:val="none" w:sz="0" w:space="0" w:color="auto"/>
        <w:left w:val="none" w:sz="0" w:space="0" w:color="auto"/>
        <w:bottom w:val="none" w:sz="0" w:space="0" w:color="auto"/>
        <w:right w:val="none" w:sz="0" w:space="0" w:color="auto"/>
      </w:divBdr>
      <w:divsChild>
        <w:div w:id="1584683963">
          <w:marLeft w:val="0"/>
          <w:marRight w:val="0"/>
          <w:marTop w:val="0"/>
          <w:marBottom w:val="0"/>
          <w:divBdr>
            <w:top w:val="none" w:sz="0" w:space="0" w:color="auto"/>
            <w:left w:val="none" w:sz="0" w:space="0" w:color="auto"/>
            <w:bottom w:val="none" w:sz="0" w:space="0" w:color="auto"/>
            <w:right w:val="none" w:sz="0" w:space="0" w:color="auto"/>
          </w:divBdr>
        </w:div>
      </w:divsChild>
    </w:div>
    <w:div w:id="835848828">
      <w:marLeft w:val="0"/>
      <w:marRight w:val="0"/>
      <w:marTop w:val="0"/>
      <w:marBottom w:val="0"/>
      <w:divBdr>
        <w:top w:val="none" w:sz="0" w:space="0" w:color="auto"/>
        <w:left w:val="none" w:sz="0" w:space="0" w:color="auto"/>
        <w:bottom w:val="none" w:sz="0" w:space="0" w:color="auto"/>
        <w:right w:val="none" w:sz="0" w:space="0" w:color="auto"/>
      </w:divBdr>
      <w:divsChild>
        <w:div w:id="753164913">
          <w:marLeft w:val="0"/>
          <w:marRight w:val="0"/>
          <w:marTop w:val="0"/>
          <w:marBottom w:val="0"/>
          <w:divBdr>
            <w:top w:val="none" w:sz="0" w:space="0" w:color="auto"/>
            <w:left w:val="none" w:sz="0" w:space="0" w:color="auto"/>
            <w:bottom w:val="none" w:sz="0" w:space="0" w:color="auto"/>
            <w:right w:val="none" w:sz="0" w:space="0" w:color="auto"/>
          </w:divBdr>
        </w:div>
      </w:divsChild>
    </w:div>
    <w:div w:id="859396612">
      <w:marLeft w:val="0"/>
      <w:marRight w:val="0"/>
      <w:marTop w:val="0"/>
      <w:marBottom w:val="0"/>
      <w:divBdr>
        <w:top w:val="none" w:sz="0" w:space="0" w:color="auto"/>
        <w:left w:val="none" w:sz="0" w:space="0" w:color="auto"/>
        <w:bottom w:val="none" w:sz="0" w:space="0" w:color="auto"/>
        <w:right w:val="none" w:sz="0" w:space="0" w:color="auto"/>
      </w:divBdr>
      <w:divsChild>
        <w:div w:id="218246242">
          <w:marLeft w:val="0"/>
          <w:marRight w:val="0"/>
          <w:marTop w:val="0"/>
          <w:marBottom w:val="0"/>
          <w:divBdr>
            <w:top w:val="none" w:sz="0" w:space="0" w:color="auto"/>
            <w:left w:val="none" w:sz="0" w:space="0" w:color="auto"/>
            <w:bottom w:val="none" w:sz="0" w:space="0" w:color="auto"/>
            <w:right w:val="none" w:sz="0" w:space="0" w:color="auto"/>
          </w:divBdr>
        </w:div>
      </w:divsChild>
    </w:div>
    <w:div w:id="962267135">
      <w:marLeft w:val="0"/>
      <w:marRight w:val="0"/>
      <w:marTop w:val="0"/>
      <w:marBottom w:val="0"/>
      <w:divBdr>
        <w:top w:val="none" w:sz="0" w:space="0" w:color="auto"/>
        <w:left w:val="none" w:sz="0" w:space="0" w:color="auto"/>
        <w:bottom w:val="none" w:sz="0" w:space="0" w:color="auto"/>
        <w:right w:val="none" w:sz="0" w:space="0" w:color="auto"/>
      </w:divBdr>
      <w:divsChild>
        <w:div w:id="1864198580">
          <w:marLeft w:val="0"/>
          <w:marRight w:val="0"/>
          <w:marTop w:val="0"/>
          <w:marBottom w:val="0"/>
          <w:divBdr>
            <w:top w:val="none" w:sz="0" w:space="0" w:color="auto"/>
            <w:left w:val="none" w:sz="0" w:space="0" w:color="auto"/>
            <w:bottom w:val="none" w:sz="0" w:space="0" w:color="auto"/>
            <w:right w:val="none" w:sz="0" w:space="0" w:color="auto"/>
          </w:divBdr>
        </w:div>
      </w:divsChild>
    </w:div>
    <w:div w:id="977149497">
      <w:marLeft w:val="0"/>
      <w:marRight w:val="0"/>
      <w:marTop w:val="0"/>
      <w:marBottom w:val="0"/>
      <w:divBdr>
        <w:top w:val="none" w:sz="0" w:space="0" w:color="auto"/>
        <w:left w:val="none" w:sz="0" w:space="0" w:color="auto"/>
        <w:bottom w:val="none" w:sz="0" w:space="0" w:color="auto"/>
        <w:right w:val="none" w:sz="0" w:space="0" w:color="auto"/>
      </w:divBdr>
      <w:divsChild>
        <w:div w:id="954753139">
          <w:marLeft w:val="0"/>
          <w:marRight w:val="0"/>
          <w:marTop w:val="0"/>
          <w:marBottom w:val="0"/>
          <w:divBdr>
            <w:top w:val="none" w:sz="0" w:space="0" w:color="auto"/>
            <w:left w:val="none" w:sz="0" w:space="0" w:color="auto"/>
            <w:bottom w:val="none" w:sz="0" w:space="0" w:color="auto"/>
            <w:right w:val="none" w:sz="0" w:space="0" w:color="auto"/>
          </w:divBdr>
        </w:div>
      </w:divsChild>
    </w:div>
    <w:div w:id="989947125">
      <w:marLeft w:val="0"/>
      <w:marRight w:val="0"/>
      <w:marTop w:val="0"/>
      <w:marBottom w:val="0"/>
      <w:divBdr>
        <w:top w:val="none" w:sz="0" w:space="0" w:color="auto"/>
        <w:left w:val="none" w:sz="0" w:space="0" w:color="auto"/>
        <w:bottom w:val="none" w:sz="0" w:space="0" w:color="auto"/>
        <w:right w:val="none" w:sz="0" w:space="0" w:color="auto"/>
      </w:divBdr>
      <w:divsChild>
        <w:div w:id="1778133887">
          <w:marLeft w:val="0"/>
          <w:marRight w:val="0"/>
          <w:marTop w:val="0"/>
          <w:marBottom w:val="0"/>
          <w:divBdr>
            <w:top w:val="none" w:sz="0" w:space="0" w:color="auto"/>
            <w:left w:val="none" w:sz="0" w:space="0" w:color="auto"/>
            <w:bottom w:val="none" w:sz="0" w:space="0" w:color="auto"/>
            <w:right w:val="none" w:sz="0" w:space="0" w:color="auto"/>
          </w:divBdr>
        </w:div>
      </w:divsChild>
    </w:div>
    <w:div w:id="1079251143">
      <w:marLeft w:val="0"/>
      <w:marRight w:val="0"/>
      <w:marTop w:val="0"/>
      <w:marBottom w:val="0"/>
      <w:divBdr>
        <w:top w:val="none" w:sz="0" w:space="0" w:color="auto"/>
        <w:left w:val="none" w:sz="0" w:space="0" w:color="auto"/>
        <w:bottom w:val="none" w:sz="0" w:space="0" w:color="auto"/>
        <w:right w:val="none" w:sz="0" w:space="0" w:color="auto"/>
      </w:divBdr>
      <w:divsChild>
        <w:div w:id="1386873387">
          <w:marLeft w:val="0"/>
          <w:marRight w:val="0"/>
          <w:marTop w:val="0"/>
          <w:marBottom w:val="0"/>
          <w:divBdr>
            <w:top w:val="none" w:sz="0" w:space="0" w:color="auto"/>
            <w:left w:val="none" w:sz="0" w:space="0" w:color="auto"/>
            <w:bottom w:val="none" w:sz="0" w:space="0" w:color="auto"/>
            <w:right w:val="none" w:sz="0" w:space="0" w:color="auto"/>
          </w:divBdr>
        </w:div>
      </w:divsChild>
    </w:div>
    <w:div w:id="1153177309">
      <w:marLeft w:val="0"/>
      <w:marRight w:val="0"/>
      <w:marTop w:val="0"/>
      <w:marBottom w:val="0"/>
      <w:divBdr>
        <w:top w:val="none" w:sz="0" w:space="0" w:color="auto"/>
        <w:left w:val="none" w:sz="0" w:space="0" w:color="auto"/>
        <w:bottom w:val="none" w:sz="0" w:space="0" w:color="auto"/>
        <w:right w:val="none" w:sz="0" w:space="0" w:color="auto"/>
      </w:divBdr>
      <w:divsChild>
        <w:div w:id="1294798157">
          <w:marLeft w:val="0"/>
          <w:marRight w:val="0"/>
          <w:marTop w:val="0"/>
          <w:marBottom w:val="0"/>
          <w:divBdr>
            <w:top w:val="none" w:sz="0" w:space="0" w:color="auto"/>
            <w:left w:val="none" w:sz="0" w:space="0" w:color="auto"/>
            <w:bottom w:val="none" w:sz="0" w:space="0" w:color="auto"/>
            <w:right w:val="none" w:sz="0" w:space="0" w:color="auto"/>
          </w:divBdr>
        </w:div>
      </w:divsChild>
    </w:div>
    <w:div w:id="1172336052">
      <w:marLeft w:val="0"/>
      <w:marRight w:val="0"/>
      <w:marTop w:val="0"/>
      <w:marBottom w:val="0"/>
      <w:divBdr>
        <w:top w:val="none" w:sz="0" w:space="0" w:color="auto"/>
        <w:left w:val="none" w:sz="0" w:space="0" w:color="auto"/>
        <w:bottom w:val="none" w:sz="0" w:space="0" w:color="auto"/>
        <w:right w:val="none" w:sz="0" w:space="0" w:color="auto"/>
      </w:divBdr>
      <w:divsChild>
        <w:div w:id="184291371">
          <w:marLeft w:val="0"/>
          <w:marRight w:val="0"/>
          <w:marTop w:val="0"/>
          <w:marBottom w:val="0"/>
          <w:divBdr>
            <w:top w:val="none" w:sz="0" w:space="0" w:color="auto"/>
            <w:left w:val="none" w:sz="0" w:space="0" w:color="auto"/>
            <w:bottom w:val="none" w:sz="0" w:space="0" w:color="auto"/>
            <w:right w:val="none" w:sz="0" w:space="0" w:color="auto"/>
          </w:divBdr>
        </w:div>
      </w:divsChild>
    </w:div>
    <w:div w:id="1188830497">
      <w:marLeft w:val="0"/>
      <w:marRight w:val="0"/>
      <w:marTop w:val="0"/>
      <w:marBottom w:val="0"/>
      <w:divBdr>
        <w:top w:val="none" w:sz="0" w:space="0" w:color="auto"/>
        <w:left w:val="none" w:sz="0" w:space="0" w:color="auto"/>
        <w:bottom w:val="none" w:sz="0" w:space="0" w:color="auto"/>
        <w:right w:val="none" w:sz="0" w:space="0" w:color="auto"/>
      </w:divBdr>
      <w:divsChild>
        <w:div w:id="414975765">
          <w:marLeft w:val="0"/>
          <w:marRight w:val="0"/>
          <w:marTop w:val="0"/>
          <w:marBottom w:val="0"/>
          <w:divBdr>
            <w:top w:val="none" w:sz="0" w:space="0" w:color="auto"/>
            <w:left w:val="none" w:sz="0" w:space="0" w:color="auto"/>
            <w:bottom w:val="none" w:sz="0" w:space="0" w:color="auto"/>
            <w:right w:val="none" w:sz="0" w:space="0" w:color="auto"/>
          </w:divBdr>
        </w:div>
      </w:divsChild>
    </w:div>
    <w:div w:id="1207916292">
      <w:marLeft w:val="0"/>
      <w:marRight w:val="0"/>
      <w:marTop w:val="0"/>
      <w:marBottom w:val="0"/>
      <w:divBdr>
        <w:top w:val="none" w:sz="0" w:space="0" w:color="auto"/>
        <w:left w:val="none" w:sz="0" w:space="0" w:color="auto"/>
        <w:bottom w:val="none" w:sz="0" w:space="0" w:color="auto"/>
        <w:right w:val="none" w:sz="0" w:space="0" w:color="auto"/>
      </w:divBdr>
      <w:divsChild>
        <w:div w:id="651906549">
          <w:marLeft w:val="0"/>
          <w:marRight w:val="0"/>
          <w:marTop w:val="0"/>
          <w:marBottom w:val="0"/>
          <w:divBdr>
            <w:top w:val="none" w:sz="0" w:space="0" w:color="auto"/>
            <w:left w:val="none" w:sz="0" w:space="0" w:color="auto"/>
            <w:bottom w:val="none" w:sz="0" w:space="0" w:color="auto"/>
            <w:right w:val="none" w:sz="0" w:space="0" w:color="auto"/>
          </w:divBdr>
        </w:div>
      </w:divsChild>
    </w:div>
    <w:div w:id="1231234401">
      <w:marLeft w:val="0"/>
      <w:marRight w:val="0"/>
      <w:marTop w:val="0"/>
      <w:marBottom w:val="0"/>
      <w:divBdr>
        <w:top w:val="none" w:sz="0" w:space="0" w:color="auto"/>
        <w:left w:val="none" w:sz="0" w:space="0" w:color="auto"/>
        <w:bottom w:val="none" w:sz="0" w:space="0" w:color="auto"/>
        <w:right w:val="none" w:sz="0" w:space="0" w:color="auto"/>
      </w:divBdr>
      <w:divsChild>
        <w:div w:id="1513301530">
          <w:marLeft w:val="0"/>
          <w:marRight w:val="0"/>
          <w:marTop w:val="0"/>
          <w:marBottom w:val="0"/>
          <w:divBdr>
            <w:top w:val="none" w:sz="0" w:space="0" w:color="auto"/>
            <w:left w:val="none" w:sz="0" w:space="0" w:color="auto"/>
            <w:bottom w:val="none" w:sz="0" w:space="0" w:color="auto"/>
            <w:right w:val="none" w:sz="0" w:space="0" w:color="auto"/>
          </w:divBdr>
        </w:div>
      </w:divsChild>
    </w:div>
    <w:div w:id="1262841095">
      <w:marLeft w:val="0"/>
      <w:marRight w:val="0"/>
      <w:marTop w:val="0"/>
      <w:marBottom w:val="0"/>
      <w:divBdr>
        <w:top w:val="none" w:sz="0" w:space="0" w:color="auto"/>
        <w:left w:val="none" w:sz="0" w:space="0" w:color="auto"/>
        <w:bottom w:val="none" w:sz="0" w:space="0" w:color="auto"/>
        <w:right w:val="none" w:sz="0" w:space="0" w:color="auto"/>
      </w:divBdr>
      <w:divsChild>
        <w:div w:id="21516993">
          <w:marLeft w:val="0"/>
          <w:marRight w:val="0"/>
          <w:marTop w:val="0"/>
          <w:marBottom w:val="0"/>
          <w:divBdr>
            <w:top w:val="none" w:sz="0" w:space="0" w:color="auto"/>
            <w:left w:val="none" w:sz="0" w:space="0" w:color="auto"/>
            <w:bottom w:val="none" w:sz="0" w:space="0" w:color="auto"/>
            <w:right w:val="none" w:sz="0" w:space="0" w:color="auto"/>
          </w:divBdr>
        </w:div>
      </w:divsChild>
    </w:div>
    <w:div w:id="1274240822">
      <w:marLeft w:val="0"/>
      <w:marRight w:val="0"/>
      <w:marTop w:val="0"/>
      <w:marBottom w:val="0"/>
      <w:divBdr>
        <w:top w:val="none" w:sz="0" w:space="0" w:color="auto"/>
        <w:left w:val="none" w:sz="0" w:space="0" w:color="auto"/>
        <w:bottom w:val="none" w:sz="0" w:space="0" w:color="auto"/>
        <w:right w:val="none" w:sz="0" w:space="0" w:color="auto"/>
      </w:divBdr>
      <w:divsChild>
        <w:div w:id="103355392">
          <w:marLeft w:val="0"/>
          <w:marRight w:val="0"/>
          <w:marTop w:val="0"/>
          <w:marBottom w:val="0"/>
          <w:divBdr>
            <w:top w:val="none" w:sz="0" w:space="0" w:color="auto"/>
            <w:left w:val="none" w:sz="0" w:space="0" w:color="auto"/>
            <w:bottom w:val="none" w:sz="0" w:space="0" w:color="auto"/>
            <w:right w:val="none" w:sz="0" w:space="0" w:color="auto"/>
          </w:divBdr>
        </w:div>
      </w:divsChild>
    </w:div>
    <w:div w:id="1285431479">
      <w:marLeft w:val="0"/>
      <w:marRight w:val="0"/>
      <w:marTop w:val="0"/>
      <w:marBottom w:val="0"/>
      <w:divBdr>
        <w:top w:val="none" w:sz="0" w:space="0" w:color="auto"/>
        <w:left w:val="none" w:sz="0" w:space="0" w:color="auto"/>
        <w:bottom w:val="none" w:sz="0" w:space="0" w:color="auto"/>
        <w:right w:val="none" w:sz="0" w:space="0" w:color="auto"/>
      </w:divBdr>
      <w:divsChild>
        <w:div w:id="1149637158">
          <w:marLeft w:val="0"/>
          <w:marRight w:val="0"/>
          <w:marTop w:val="0"/>
          <w:marBottom w:val="0"/>
          <w:divBdr>
            <w:top w:val="none" w:sz="0" w:space="0" w:color="auto"/>
            <w:left w:val="none" w:sz="0" w:space="0" w:color="auto"/>
            <w:bottom w:val="none" w:sz="0" w:space="0" w:color="auto"/>
            <w:right w:val="none" w:sz="0" w:space="0" w:color="auto"/>
          </w:divBdr>
        </w:div>
      </w:divsChild>
    </w:div>
    <w:div w:id="1326786902">
      <w:marLeft w:val="0"/>
      <w:marRight w:val="0"/>
      <w:marTop w:val="0"/>
      <w:marBottom w:val="0"/>
      <w:divBdr>
        <w:top w:val="none" w:sz="0" w:space="0" w:color="auto"/>
        <w:left w:val="none" w:sz="0" w:space="0" w:color="auto"/>
        <w:bottom w:val="none" w:sz="0" w:space="0" w:color="auto"/>
        <w:right w:val="none" w:sz="0" w:space="0" w:color="auto"/>
      </w:divBdr>
      <w:divsChild>
        <w:div w:id="1013075215">
          <w:marLeft w:val="0"/>
          <w:marRight w:val="0"/>
          <w:marTop w:val="0"/>
          <w:marBottom w:val="0"/>
          <w:divBdr>
            <w:top w:val="none" w:sz="0" w:space="0" w:color="auto"/>
            <w:left w:val="none" w:sz="0" w:space="0" w:color="auto"/>
            <w:bottom w:val="none" w:sz="0" w:space="0" w:color="auto"/>
            <w:right w:val="none" w:sz="0" w:space="0" w:color="auto"/>
          </w:divBdr>
        </w:div>
      </w:divsChild>
    </w:div>
    <w:div w:id="1382513754">
      <w:marLeft w:val="0"/>
      <w:marRight w:val="0"/>
      <w:marTop w:val="0"/>
      <w:marBottom w:val="0"/>
      <w:divBdr>
        <w:top w:val="none" w:sz="0" w:space="0" w:color="auto"/>
        <w:left w:val="none" w:sz="0" w:space="0" w:color="auto"/>
        <w:bottom w:val="none" w:sz="0" w:space="0" w:color="auto"/>
        <w:right w:val="none" w:sz="0" w:space="0" w:color="auto"/>
      </w:divBdr>
      <w:divsChild>
        <w:div w:id="1027607925">
          <w:marLeft w:val="0"/>
          <w:marRight w:val="0"/>
          <w:marTop w:val="0"/>
          <w:marBottom w:val="0"/>
          <w:divBdr>
            <w:top w:val="none" w:sz="0" w:space="0" w:color="auto"/>
            <w:left w:val="none" w:sz="0" w:space="0" w:color="auto"/>
            <w:bottom w:val="none" w:sz="0" w:space="0" w:color="auto"/>
            <w:right w:val="none" w:sz="0" w:space="0" w:color="auto"/>
          </w:divBdr>
        </w:div>
      </w:divsChild>
    </w:div>
    <w:div w:id="1399478925">
      <w:marLeft w:val="0"/>
      <w:marRight w:val="0"/>
      <w:marTop w:val="0"/>
      <w:marBottom w:val="0"/>
      <w:divBdr>
        <w:top w:val="none" w:sz="0" w:space="0" w:color="auto"/>
        <w:left w:val="none" w:sz="0" w:space="0" w:color="auto"/>
        <w:bottom w:val="none" w:sz="0" w:space="0" w:color="auto"/>
        <w:right w:val="none" w:sz="0" w:space="0" w:color="auto"/>
      </w:divBdr>
      <w:divsChild>
        <w:div w:id="1188367039">
          <w:marLeft w:val="0"/>
          <w:marRight w:val="0"/>
          <w:marTop w:val="0"/>
          <w:marBottom w:val="0"/>
          <w:divBdr>
            <w:top w:val="none" w:sz="0" w:space="0" w:color="auto"/>
            <w:left w:val="none" w:sz="0" w:space="0" w:color="auto"/>
            <w:bottom w:val="none" w:sz="0" w:space="0" w:color="auto"/>
            <w:right w:val="none" w:sz="0" w:space="0" w:color="auto"/>
          </w:divBdr>
        </w:div>
      </w:divsChild>
    </w:div>
    <w:div w:id="1416900242">
      <w:marLeft w:val="0"/>
      <w:marRight w:val="0"/>
      <w:marTop w:val="0"/>
      <w:marBottom w:val="0"/>
      <w:divBdr>
        <w:top w:val="none" w:sz="0" w:space="0" w:color="auto"/>
        <w:left w:val="none" w:sz="0" w:space="0" w:color="auto"/>
        <w:bottom w:val="none" w:sz="0" w:space="0" w:color="auto"/>
        <w:right w:val="none" w:sz="0" w:space="0" w:color="auto"/>
      </w:divBdr>
      <w:divsChild>
        <w:div w:id="573274079">
          <w:marLeft w:val="0"/>
          <w:marRight w:val="0"/>
          <w:marTop w:val="0"/>
          <w:marBottom w:val="0"/>
          <w:divBdr>
            <w:top w:val="none" w:sz="0" w:space="0" w:color="auto"/>
            <w:left w:val="none" w:sz="0" w:space="0" w:color="auto"/>
            <w:bottom w:val="none" w:sz="0" w:space="0" w:color="auto"/>
            <w:right w:val="none" w:sz="0" w:space="0" w:color="auto"/>
          </w:divBdr>
        </w:div>
      </w:divsChild>
    </w:div>
    <w:div w:id="1423259053">
      <w:marLeft w:val="0"/>
      <w:marRight w:val="0"/>
      <w:marTop w:val="0"/>
      <w:marBottom w:val="0"/>
      <w:divBdr>
        <w:top w:val="none" w:sz="0" w:space="0" w:color="auto"/>
        <w:left w:val="none" w:sz="0" w:space="0" w:color="auto"/>
        <w:bottom w:val="none" w:sz="0" w:space="0" w:color="auto"/>
        <w:right w:val="none" w:sz="0" w:space="0" w:color="auto"/>
      </w:divBdr>
      <w:divsChild>
        <w:div w:id="1046876530">
          <w:marLeft w:val="0"/>
          <w:marRight w:val="0"/>
          <w:marTop w:val="0"/>
          <w:marBottom w:val="0"/>
          <w:divBdr>
            <w:top w:val="none" w:sz="0" w:space="0" w:color="auto"/>
            <w:left w:val="none" w:sz="0" w:space="0" w:color="auto"/>
            <w:bottom w:val="none" w:sz="0" w:space="0" w:color="auto"/>
            <w:right w:val="none" w:sz="0" w:space="0" w:color="auto"/>
          </w:divBdr>
        </w:div>
      </w:divsChild>
    </w:div>
    <w:div w:id="1427266675">
      <w:marLeft w:val="0"/>
      <w:marRight w:val="0"/>
      <w:marTop w:val="0"/>
      <w:marBottom w:val="0"/>
      <w:divBdr>
        <w:top w:val="none" w:sz="0" w:space="0" w:color="auto"/>
        <w:left w:val="none" w:sz="0" w:space="0" w:color="auto"/>
        <w:bottom w:val="none" w:sz="0" w:space="0" w:color="auto"/>
        <w:right w:val="none" w:sz="0" w:space="0" w:color="auto"/>
      </w:divBdr>
      <w:divsChild>
        <w:div w:id="872767150">
          <w:marLeft w:val="0"/>
          <w:marRight w:val="0"/>
          <w:marTop w:val="0"/>
          <w:marBottom w:val="0"/>
          <w:divBdr>
            <w:top w:val="none" w:sz="0" w:space="0" w:color="auto"/>
            <w:left w:val="none" w:sz="0" w:space="0" w:color="auto"/>
            <w:bottom w:val="none" w:sz="0" w:space="0" w:color="auto"/>
            <w:right w:val="none" w:sz="0" w:space="0" w:color="auto"/>
          </w:divBdr>
        </w:div>
      </w:divsChild>
    </w:div>
    <w:div w:id="1433286533">
      <w:marLeft w:val="0"/>
      <w:marRight w:val="0"/>
      <w:marTop w:val="0"/>
      <w:marBottom w:val="0"/>
      <w:divBdr>
        <w:top w:val="none" w:sz="0" w:space="0" w:color="auto"/>
        <w:left w:val="none" w:sz="0" w:space="0" w:color="auto"/>
        <w:bottom w:val="none" w:sz="0" w:space="0" w:color="auto"/>
        <w:right w:val="none" w:sz="0" w:space="0" w:color="auto"/>
      </w:divBdr>
      <w:divsChild>
        <w:div w:id="1006786728">
          <w:marLeft w:val="0"/>
          <w:marRight w:val="0"/>
          <w:marTop w:val="0"/>
          <w:marBottom w:val="0"/>
          <w:divBdr>
            <w:top w:val="none" w:sz="0" w:space="0" w:color="auto"/>
            <w:left w:val="none" w:sz="0" w:space="0" w:color="auto"/>
            <w:bottom w:val="none" w:sz="0" w:space="0" w:color="auto"/>
            <w:right w:val="none" w:sz="0" w:space="0" w:color="auto"/>
          </w:divBdr>
        </w:div>
      </w:divsChild>
    </w:div>
    <w:div w:id="1524515734">
      <w:marLeft w:val="0"/>
      <w:marRight w:val="0"/>
      <w:marTop w:val="0"/>
      <w:marBottom w:val="0"/>
      <w:divBdr>
        <w:top w:val="none" w:sz="0" w:space="0" w:color="auto"/>
        <w:left w:val="none" w:sz="0" w:space="0" w:color="auto"/>
        <w:bottom w:val="none" w:sz="0" w:space="0" w:color="auto"/>
        <w:right w:val="none" w:sz="0" w:space="0" w:color="auto"/>
      </w:divBdr>
      <w:divsChild>
        <w:div w:id="1069495519">
          <w:marLeft w:val="0"/>
          <w:marRight w:val="0"/>
          <w:marTop w:val="0"/>
          <w:marBottom w:val="0"/>
          <w:divBdr>
            <w:top w:val="none" w:sz="0" w:space="0" w:color="auto"/>
            <w:left w:val="none" w:sz="0" w:space="0" w:color="auto"/>
            <w:bottom w:val="none" w:sz="0" w:space="0" w:color="auto"/>
            <w:right w:val="none" w:sz="0" w:space="0" w:color="auto"/>
          </w:divBdr>
        </w:div>
      </w:divsChild>
    </w:div>
    <w:div w:id="1586376847">
      <w:marLeft w:val="0"/>
      <w:marRight w:val="0"/>
      <w:marTop w:val="0"/>
      <w:marBottom w:val="0"/>
      <w:divBdr>
        <w:top w:val="none" w:sz="0" w:space="0" w:color="auto"/>
        <w:left w:val="none" w:sz="0" w:space="0" w:color="auto"/>
        <w:bottom w:val="none" w:sz="0" w:space="0" w:color="auto"/>
        <w:right w:val="none" w:sz="0" w:space="0" w:color="auto"/>
      </w:divBdr>
      <w:divsChild>
        <w:div w:id="934243698">
          <w:marLeft w:val="0"/>
          <w:marRight w:val="0"/>
          <w:marTop w:val="0"/>
          <w:marBottom w:val="0"/>
          <w:divBdr>
            <w:top w:val="none" w:sz="0" w:space="0" w:color="auto"/>
            <w:left w:val="none" w:sz="0" w:space="0" w:color="auto"/>
            <w:bottom w:val="none" w:sz="0" w:space="0" w:color="auto"/>
            <w:right w:val="none" w:sz="0" w:space="0" w:color="auto"/>
          </w:divBdr>
        </w:div>
      </w:divsChild>
    </w:div>
    <w:div w:id="1598904551">
      <w:bodyDiv w:val="1"/>
      <w:marLeft w:val="0"/>
      <w:marRight w:val="0"/>
      <w:marTop w:val="0"/>
      <w:marBottom w:val="0"/>
      <w:divBdr>
        <w:top w:val="none" w:sz="0" w:space="0" w:color="auto"/>
        <w:left w:val="none" w:sz="0" w:space="0" w:color="auto"/>
        <w:bottom w:val="none" w:sz="0" w:space="0" w:color="auto"/>
        <w:right w:val="none" w:sz="0" w:space="0" w:color="auto"/>
      </w:divBdr>
    </w:div>
    <w:div w:id="1631322451">
      <w:marLeft w:val="0"/>
      <w:marRight w:val="0"/>
      <w:marTop w:val="0"/>
      <w:marBottom w:val="0"/>
      <w:divBdr>
        <w:top w:val="none" w:sz="0" w:space="0" w:color="auto"/>
        <w:left w:val="none" w:sz="0" w:space="0" w:color="auto"/>
        <w:bottom w:val="none" w:sz="0" w:space="0" w:color="auto"/>
        <w:right w:val="none" w:sz="0" w:space="0" w:color="auto"/>
      </w:divBdr>
      <w:divsChild>
        <w:div w:id="505946010">
          <w:marLeft w:val="0"/>
          <w:marRight w:val="0"/>
          <w:marTop w:val="0"/>
          <w:marBottom w:val="0"/>
          <w:divBdr>
            <w:top w:val="none" w:sz="0" w:space="0" w:color="auto"/>
            <w:left w:val="none" w:sz="0" w:space="0" w:color="auto"/>
            <w:bottom w:val="none" w:sz="0" w:space="0" w:color="auto"/>
            <w:right w:val="none" w:sz="0" w:space="0" w:color="auto"/>
          </w:divBdr>
        </w:div>
      </w:divsChild>
    </w:div>
    <w:div w:id="1747145416">
      <w:marLeft w:val="0"/>
      <w:marRight w:val="0"/>
      <w:marTop w:val="0"/>
      <w:marBottom w:val="0"/>
      <w:divBdr>
        <w:top w:val="none" w:sz="0" w:space="0" w:color="auto"/>
        <w:left w:val="none" w:sz="0" w:space="0" w:color="auto"/>
        <w:bottom w:val="none" w:sz="0" w:space="0" w:color="auto"/>
        <w:right w:val="none" w:sz="0" w:space="0" w:color="auto"/>
      </w:divBdr>
      <w:divsChild>
        <w:div w:id="1355691304">
          <w:marLeft w:val="0"/>
          <w:marRight w:val="0"/>
          <w:marTop w:val="0"/>
          <w:marBottom w:val="0"/>
          <w:divBdr>
            <w:top w:val="none" w:sz="0" w:space="0" w:color="auto"/>
            <w:left w:val="none" w:sz="0" w:space="0" w:color="auto"/>
            <w:bottom w:val="none" w:sz="0" w:space="0" w:color="auto"/>
            <w:right w:val="none" w:sz="0" w:space="0" w:color="auto"/>
          </w:divBdr>
        </w:div>
      </w:divsChild>
    </w:div>
    <w:div w:id="1748264062">
      <w:marLeft w:val="0"/>
      <w:marRight w:val="0"/>
      <w:marTop w:val="0"/>
      <w:marBottom w:val="0"/>
      <w:divBdr>
        <w:top w:val="none" w:sz="0" w:space="0" w:color="auto"/>
        <w:left w:val="none" w:sz="0" w:space="0" w:color="auto"/>
        <w:bottom w:val="none" w:sz="0" w:space="0" w:color="auto"/>
        <w:right w:val="none" w:sz="0" w:space="0" w:color="auto"/>
      </w:divBdr>
      <w:divsChild>
        <w:div w:id="782964537">
          <w:marLeft w:val="0"/>
          <w:marRight w:val="0"/>
          <w:marTop w:val="0"/>
          <w:marBottom w:val="0"/>
          <w:divBdr>
            <w:top w:val="none" w:sz="0" w:space="0" w:color="auto"/>
            <w:left w:val="none" w:sz="0" w:space="0" w:color="auto"/>
            <w:bottom w:val="none" w:sz="0" w:space="0" w:color="auto"/>
            <w:right w:val="none" w:sz="0" w:space="0" w:color="auto"/>
          </w:divBdr>
        </w:div>
      </w:divsChild>
    </w:div>
    <w:div w:id="1771008427">
      <w:marLeft w:val="0"/>
      <w:marRight w:val="0"/>
      <w:marTop w:val="0"/>
      <w:marBottom w:val="0"/>
      <w:divBdr>
        <w:top w:val="none" w:sz="0" w:space="0" w:color="auto"/>
        <w:left w:val="none" w:sz="0" w:space="0" w:color="auto"/>
        <w:bottom w:val="none" w:sz="0" w:space="0" w:color="auto"/>
        <w:right w:val="none" w:sz="0" w:space="0" w:color="auto"/>
      </w:divBdr>
      <w:divsChild>
        <w:div w:id="1977445740">
          <w:marLeft w:val="0"/>
          <w:marRight w:val="0"/>
          <w:marTop w:val="0"/>
          <w:marBottom w:val="0"/>
          <w:divBdr>
            <w:top w:val="none" w:sz="0" w:space="0" w:color="auto"/>
            <w:left w:val="none" w:sz="0" w:space="0" w:color="auto"/>
            <w:bottom w:val="none" w:sz="0" w:space="0" w:color="auto"/>
            <w:right w:val="none" w:sz="0" w:space="0" w:color="auto"/>
          </w:divBdr>
        </w:div>
      </w:divsChild>
    </w:div>
    <w:div w:id="1790974712">
      <w:marLeft w:val="0"/>
      <w:marRight w:val="0"/>
      <w:marTop w:val="0"/>
      <w:marBottom w:val="0"/>
      <w:divBdr>
        <w:top w:val="none" w:sz="0" w:space="0" w:color="auto"/>
        <w:left w:val="none" w:sz="0" w:space="0" w:color="auto"/>
        <w:bottom w:val="none" w:sz="0" w:space="0" w:color="auto"/>
        <w:right w:val="none" w:sz="0" w:space="0" w:color="auto"/>
      </w:divBdr>
      <w:divsChild>
        <w:div w:id="1004824416">
          <w:marLeft w:val="0"/>
          <w:marRight w:val="0"/>
          <w:marTop w:val="0"/>
          <w:marBottom w:val="0"/>
          <w:divBdr>
            <w:top w:val="none" w:sz="0" w:space="0" w:color="auto"/>
            <w:left w:val="none" w:sz="0" w:space="0" w:color="auto"/>
            <w:bottom w:val="none" w:sz="0" w:space="0" w:color="auto"/>
            <w:right w:val="none" w:sz="0" w:space="0" w:color="auto"/>
          </w:divBdr>
        </w:div>
      </w:divsChild>
    </w:div>
    <w:div w:id="1832520822">
      <w:marLeft w:val="0"/>
      <w:marRight w:val="0"/>
      <w:marTop w:val="0"/>
      <w:marBottom w:val="0"/>
      <w:divBdr>
        <w:top w:val="none" w:sz="0" w:space="0" w:color="auto"/>
        <w:left w:val="none" w:sz="0" w:space="0" w:color="auto"/>
        <w:bottom w:val="none" w:sz="0" w:space="0" w:color="auto"/>
        <w:right w:val="none" w:sz="0" w:space="0" w:color="auto"/>
      </w:divBdr>
      <w:divsChild>
        <w:div w:id="1457987812">
          <w:marLeft w:val="0"/>
          <w:marRight w:val="0"/>
          <w:marTop w:val="0"/>
          <w:marBottom w:val="0"/>
          <w:divBdr>
            <w:top w:val="none" w:sz="0" w:space="0" w:color="auto"/>
            <w:left w:val="none" w:sz="0" w:space="0" w:color="auto"/>
            <w:bottom w:val="none" w:sz="0" w:space="0" w:color="auto"/>
            <w:right w:val="none" w:sz="0" w:space="0" w:color="auto"/>
          </w:divBdr>
        </w:div>
      </w:divsChild>
    </w:div>
    <w:div w:id="1845126668">
      <w:marLeft w:val="0"/>
      <w:marRight w:val="0"/>
      <w:marTop w:val="0"/>
      <w:marBottom w:val="0"/>
      <w:divBdr>
        <w:top w:val="none" w:sz="0" w:space="0" w:color="auto"/>
        <w:left w:val="none" w:sz="0" w:space="0" w:color="auto"/>
        <w:bottom w:val="none" w:sz="0" w:space="0" w:color="auto"/>
        <w:right w:val="none" w:sz="0" w:space="0" w:color="auto"/>
      </w:divBdr>
      <w:divsChild>
        <w:div w:id="563831911">
          <w:marLeft w:val="0"/>
          <w:marRight w:val="0"/>
          <w:marTop w:val="0"/>
          <w:marBottom w:val="0"/>
          <w:divBdr>
            <w:top w:val="none" w:sz="0" w:space="0" w:color="auto"/>
            <w:left w:val="none" w:sz="0" w:space="0" w:color="auto"/>
            <w:bottom w:val="none" w:sz="0" w:space="0" w:color="auto"/>
            <w:right w:val="none" w:sz="0" w:space="0" w:color="auto"/>
          </w:divBdr>
        </w:div>
      </w:divsChild>
    </w:div>
    <w:div w:id="1871189819">
      <w:marLeft w:val="0"/>
      <w:marRight w:val="0"/>
      <w:marTop w:val="0"/>
      <w:marBottom w:val="0"/>
      <w:divBdr>
        <w:top w:val="none" w:sz="0" w:space="0" w:color="auto"/>
        <w:left w:val="none" w:sz="0" w:space="0" w:color="auto"/>
        <w:bottom w:val="none" w:sz="0" w:space="0" w:color="auto"/>
        <w:right w:val="none" w:sz="0" w:space="0" w:color="auto"/>
      </w:divBdr>
      <w:divsChild>
        <w:div w:id="1107702897">
          <w:marLeft w:val="0"/>
          <w:marRight w:val="0"/>
          <w:marTop w:val="0"/>
          <w:marBottom w:val="0"/>
          <w:divBdr>
            <w:top w:val="none" w:sz="0" w:space="0" w:color="auto"/>
            <w:left w:val="none" w:sz="0" w:space="0" w:color="auto"/>
            <w:bottom w:val="none" w:sz="0" w:space="0" w:color="auto"/>
            <w:right w:val="none" w:sz="0" w:space="0" w:color="auto"/>
          </w:divBdr>
        </w:div>
      </w:divsChild>
    </w:div>
    <w:div w:id="1918707051">
      <w:marLeft w:val="0"/>
      <w:marRight w:val="0"/>
      <w:marTop w:val="0"/>
      <w:marBottom w:val="0"/>
      <w:divBdr>
        <w:top w:val="none" w:sz="0" w:space="0" w:color="auto"/>
        <w:left w:val="none" w:sz="0" w:space="0" w:color="auto"/>
        <w:bottom w:val="none" w:sz="0" w:space="0" w:color="auto"/>
        <w:right w:val="none" w:sz="0" w:space="0" w:color="auto"/>
      </w:divBdr>
      <w:divsChild>
        <w:div w:id="640766371">
          <w:marLeft w:val="0"/>
          <w:marRight w:val="0"/>
          <w:marTop w:val="0"/>
          <w:marBottom w:val="0"/>
          <w:divBdr>
            <w:top w:val="none" w:sz="0" w:space="0" w:color="auto"/>
            <w:left w:val="none" w:sz="0" w:space="0" w:color="auto"/>
            <w:bottom w:val="none" w:sz="0" w:space="0" w:color="auto"/>
            <w:right w:val="none" w:sz="0" w:space="0" w:color="auto"/>
          </w:divBdr>
        </w:div>
      </w:divsChild>
    </w:div>
    <w:div w:id="1962689724">
      <w:marLeft w:val="0"/>
      <w:marRight w:val="0"/>
      <w:marTop w:val="0"/>
      <w:marBottom w:val="0"/>
      <w:divBdr>
        <w:top w:val="none" w:sz="0" w:space="0" w:color="auto"/>
        <w:left w:val="none" w:sz="0" w:space="0" w:color="auto"/>
        <w:bottom w:val="none" w:sz="0" w:space="0" w:color="auto"/>
        <w:right w:val="none" w:sz="0" w:space="0" w:color="auto"/>
      </w:divBdr>
      <w:divsChild>
        <w:div w:id="63069210">
          <w:marLeft w:val="0"/>
          <w:marRight w:val="0"/>
          <w:marTop w:val="0"/>
          <w:marBottom w:val="0"/>
          <w:divBdr>
            <w:top w:val="none" w:sz="0" w:space="0" w:color="auto"/>
            <w:left w:val="none" w:sz="0" w:space="0" w:color="auto"/>
            <w:bottom w:val="none" w:sz="0" w:space="0" w:color="auto"/>
            <w:right w:val="none" w:sz="0" w:space="0" w:color="auto"/>
          </w:divBdr>
        </w:div>
      </w:divsChild>
    </w:div>
    <w:div w:id="1965622846">
      <w:marLeft w:val="0"/>
      <w:marRight w:val="0"/>
      <w:marTop w:val="0"/>
      <w:marBottom w:val="0"/>
      <w:divBdr>
        <w:top w:val="none" w:sz="0" w:space="0" w:color="auto"/>
        <w:left w:val="none" w:sz="0" w:space="0" w:color="auto"/>
        <w:bottom w:val="none" w:sz="0" w:space="0" w:color="auto"/>
        <w:right w:val="none" w:sz="0" w:space="0" w:color="auto"/>
      </w:divBdr>
      <w:divsChild>
        <w:div w:id="643506905">
          <w:marLeft w:val="0"/>
          <w:marRight w:val="-100"/>
          <w:marTop w:val="0"/>
          <w:marBottom w:val="0"/>
          <w:divBdr>
            <w:top w:val="none" w:sz="0" w:space="0" w:color="auto"/>
            <w:left w:val="none" w:sz="0" w:space="0" w:color="auto"/>
            <w:bottom w:val="none" w:sz="0" w:space="0" w:color="auto"/>
            <w:right w:val="none" w:sz="0" w:space="0" w:color="auto"/>
          </w:divBdr>
        </w:div>
      </w:divsChild>
    </w:div>
    <w:div w:id="1973901556">
      <w:marLeft w:val="0"/>
      <w:marRight w:val="0"/>
      <w:marTop w:val="0"/>
      <w:marBottom w:val="0"/>
      <w:divBdr>
        <w:top w:val="none" w:sz="0" w:space="0" w:color="auto"/>
        <w:left w:val="none" w:sz="0" w:space="0" w:color="auto"/>
        <w:bottom w:val="none" w:sz="0" w:space="0" w:color="auto"/>
        <w:right w:val="none" w:sz="0" w:space="0" w:color="auto"/>
      </w:divBdr>
      <w:divsChild>
        <w:div w:id="2101215605">
          <w:marLeft w:val="0"/>
          <w:marRight w:val="0"/>
          <w:marTop w:val="0"/>
          <w:marBottom w:val="0"/>
          <w:divBdr>
            <w:top w:val="none" w:sz="0" w:space="0" w:color="auto"/>
            <w:left w:val="none" w:sz="0" w:space="0" w:color="auto"/>
            <w:bottom w:val="none" w:sz="0" w:space="0" w:color="auto"/>
            <w:right w:val="none" w:sz="0" w:space="0" w:color="auto"/>
          </w:divBdr>
        </w:div>
      </w:divsChild>
    </w:div>
    <w:div w:id="1975792460">
      <w:marLeft w:val="0"/>
      <w:marRight w:val="0"/>
      <w:marTop w:val="0"/>
      <w:marBottom w:val="0"/>
      <w:divBdr>
        <w:top w:val="none" w:sz="0" w:space="0" w:color="auto"/>
        <w:left w:val="none" w:sz="0" w:space="0" w:color="auto"/>
        <w:bottom w:val="none" w:sz="0" w:space="0" w:color="auto"/>
        <w:right w:val="none" w:sz="0" w:space="0" w:color="auto"/>
      </w:divBdr>
      <w:divsChild>
        <w:div w:id="2056001958">
          <w:marLeft w:val="0"/>
          <w:marRight w:val="0"/>
          <w:marTop w:val="0"/>
          <w:marBottom w:val="0"/>
          <w:divBdr>
            <w:top w:val="none" w:sz="0" w:space="0" w:color="auto"/>
            <w:left w:val="none" w:sz="0" w:space="0" w:color="auto"/>
            <w:bottom w:val="none" w:sz="0" w:space="0" w:color="auto"/>
            <w:right w:val="none" w:sz="0" w:space="0" w:color="auto"/>
          </w:divBdr>
        </w:div>
      </w:divsChild>
    </w:div>
    <w:div w:id="1997492378">
      <w:marLeft w:val="0"/>
      <w:marRight w:val="0"/>
      <w:marTop w:val="0"/>
      <w:marBottom w:val="0"/>
      <w:divBdr>
        <w:top w:val="none" w:sz="0" w:space="0" w:color="auto"/>
        <w:left w:val="none" w:sz="0" w:space="0" w:color="auto"/>
        <w:bottom w:val="none" w:sz="0" w:space="0" w:color="auto"/>
        <w:right w:val="none" w:sz="0" w:space="0" w:color="auto"/>
      </w:divBdr>
      <w:divsChild>
        <w:div w:id="1012293828">
          <w:marLeft w:val="0"/>
          <w:marRight w:val="0"/>
          <w:marTop w:val="0"/>
          <w:marBottom w:val="0"/>
          <w:divBdr>
            <w:top w:val="none" w:sz="0" w:space="0" w:color="auto"/>
            <w:left w:val="none" w:sz="0" w:space="0" w:color="auto"/>
            <w:bottom w:val="none" w:sz="0" w:space="0" w:color="auto"/>
            <w:right w:val="none" w:sz="0" w:space="0" w:color="auto"/>
          </w:divBdr>
        </w:div>
      </w:divsChild>
    </w:div>
    <w:div w:id="2023587790">
      <w:marLeft w:val="0"/>
      <w:marRight w:val="0"/>
      <w:marTop w:val="0"/>
      <w:marBottom w:val="0"/>
      <w:divBdr>
        <w:top w:val="none" w:sz="0" w:space="0" w:color="auto"/>
        <w:left w:val="none" w:sz="0" w:space="0" w:color="auto"/>
        <w:bottom w:val="none" w:sz="0" w:space="0" w:color="auto"/>
        <w:right w:val="none" w:sz="0" w:space="0" w:color="auto"/>
      </w:divBdr>
      <w:divsChild>
        <w:div w:id="2030567931">
          <w:marLeft w:val="0"/>
          <w:marRight w:val="0"/>
          <w:marTop w:val="0"/>
          <w:marBottom w:val="0"/>
          <w:divBdr>
            <w:top w:val="none" w:sz="0" w:space="0" w:color="auto"/>
            <w:left w:val="none" w:sz="0" w:space="0" w:color="auto"/>
            <w:bottom w:val="none" w:sz="0" w:space="0" w:color="auto"/>
            <w:right w:val="none" w:sz="0" w:space="0" w:color="auto"/>
          </w:divBdr>
        </w:div>
      </w:divsChild>
    </w:div>
    <w:div w:id="2023819250">
      <w:marLeft w:val="0"/>
      <w:marRight w:val="0"/>
      <w:marTop w:val="0"/>
      <w:marBottom w:val="0"/>
      <w:divBdr>
        <w:top w:val="none" w:sz="0" w:space="0" w:color="auto"/>
        <w:left w:val="none" w:sz="0" w:space="0" w:color="auto"/>
        <w:bottom w:val="none" w:sz="0" w:space="0" w:color="auto"/>
        <w:right w:val="none" w:sz="0" w:space="0" w:color="auto"/>
      </w:divBdr>
      <w:divsChild>
        <w:div w:id="1758625253">
          <w:marLeft w:val="0"/>
          <w:marRight w:val="0"/>
          <w:marTop w:val="0"/>
          <w:marBottom w:val="0"/>
          <w:divBdr>
            <w:top w:val="none" w:sz="0" w:space="0" w:color="auto"/>
            <w:left w:val="none" w:sz="0" w:space="0" w:color="auto"/>
            <w:bottom w:val="none" w:sz="0" w:space="0" w:color="auto"/>
            <w:right w:val="none" w:sz="0" w:space="0" w:color="auto"/>
          </w:divBdr>
        </w:div>
      </w:divsChild>
    </w:div>
    <w:div w:id="2051613533">
      <w:marLeft w:val="0"/>
      <w:marRight w:val="0"/>
      <w:marTop w:val="0"/>
      <w:marBottom w:val="0"/>
      <w:divBdr>
        <w:top w:val="none" w:sz="0" w:space="0" w:color="auto"/>
        <w:left w:val="none" w:sz="0" w:space="0" w:color="auto"/>
        <w:bottom w:val="none" w:sz="0" w:space="0" w:color="auto"/>
        <w:right w:val="none" w:sz="0" w:space="0" w:color="auto"/>
      </w:divBdr>
      <w:divsChild>
        <w:div w:id="1293051124">
          <w:marLeft w:val="0"/>
          <w:marRight w:val="0"/>
          <w:marTop w:val="0"/>
          <w:marBottom w:val="0"/>
          <w:divBdr>
            <w:top w:val="none" w:sz="0" w:space="0" w:color="auto"/>
            <w:left w:val="none" w:sz="0" w:space="0" w:color="auto"/>
            <w:bottom w:val="none" w:sz="0" w:space="0" w:color="auto"/>
            <w:right w:val="none" w:sz="0" w:space="0" w:color="auto"/>
          </w:divBdr>
        </w:div>
      </w:divsChild>
    </w:div>
    <w:div w:id="2065063273">
      <w:marLeft w:val="0"/>
      <w:marRight w:val="0"/>
      <w:marTop w:val="0"/>
      <w:marBottom w:val="0"/>
      <w:divBdr>
        <w:top w:val="none" w:sz="0" w:space="0" w:color="auto"/>
        <w:left w:val="none" w:sz="0" w:space="0" w:color="auto"/>
        <w:bottom w:val="none" w:sz="0" w:space="0" w:color="auto"/>
        <w:right w:val="none" w:sz="0" w:space="0" w:color="auto"/>
      </w:divBdr>
      <w:divsChild>
        <w:div w:id="1235314798">
          <w:marLeft w:val="0"/>
          <w:marRight w:val="0"/>
          <w:marTop w:val="0"/>
          <w:marBottom w:val="0"/>
          <w:divBdr>
            <w:top w:val="none" w:sz="0" w:space="0" w:color="auto"/>
            <w:left w:val="none" w:sz="0" w:space="0" w:color="auto"/>
            <w:bottom w:val="none" w:sz="0" w:space="0" w:color="auto"/>
            <w:right w:val="none" w:sz="0" w:space="0" w:color="auto"/>
          </w:divBdr>
        </w:div>
      </w:divsChild>
    </w:div>
    <w:div w:id="2075929250">
      <w:bodyDiv w:val="1"/>
      <w:marLeft w:val="0"/>
      <w:marRight w:val="0"/>
      <w:marTop w:val="0"/>
      <w:marBottom w:val="0"/>
      <w:divBdr>
        <w:top w:val="none" w:sz="0" w:space="0" w:color="auto"/>
        <w:left w:val="none" w:sz="0" w:space="0" w:color="auto"/>
        <w:bottom w:val="none" w:sz="0" w:space="0" w:color="auto"/>
        <w:right w:val="none" w:sz="0" w:space="0" w:color="auto"/>
      </w:divBdr>
      <w:divsChild>
        <w:div w:id="985469486">
          <w:marLeft w:val="0"/>
          <w:marRight w:val="0"/>
          <w:marTop w:val="0"/>
          <w:marBottom w:val="0"/>
          <w:divBdr>
            <w:top w:val="none" w:sz="0" w:space="0" w:color="auto"/>
            <w:left w:val="none" w:sz="0" w:space="0" w:color="auto"/>
            <w:bottom w:val="none" w:sz="0" w:space="0" w:color="auto"/>
            <w:right w:val="none" w:sz="0" w:space="0" w:color="auto"/>
          </w:divBdr>
          <w:divsChild>
            <w:div w:id="11362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919">
      <w:marLeft w:val="0"/>
      <w:marRight w:val="0"/>
      <w:marTop w:val="0"/>
      <w:marBottom w:val="0"/>
      <w:divBdr>
        <w:top w:val="none" w:sz="0" w:space="0" w:color="auto"/>
        <w:left w:val="none" w:sz="0" w:space="0" w:color="auto"/>
        <w:bottom w:val="none" w:sz="0" w:space="0" w:color="auto"/>
        <w:right w:val="none" w:sz="0" w:space="0" w:color="auto"/>
      </w:divBdr>
      <w:divsChild>
        <w:div w:id="192378998">
          <w:marLeft w:val="0"/>
          <w:marRight w:val="0"/>
          <w:marTop w:val="0"/>
          <w:marBottom w:val="0"/>
          <w:divBdr>
            <w:top w:val="none" w:sz="0" w:space="0" w:color="auto"/>
            <w:left w:val="none" w:sz="0" w:space="0" w:color="auto"/>
            <w:bottom w:val="none" w:sz="0" w:space="0" w:color="auto"/>
            <w:right w:val="none" w:sz="0" w:space="0" w:color="auto"/>
          </w:divBdr>
        </w:div>
      </w:divsChild>
    </w:div>
    <w:div w:id="2133012296">
      <w:marLeft w:val="0"/>
      <w:marRight w:val="0"/>
      <w:marTop w:val="0"/>
      <w:marBottom w:val="0"/>
      <w:divBdr>
        <w:top w:val="none" w:sz="0" w:space="0" w:color="auto"/>
        <w:left w:val="none" w:sz="0" w:space="0" w:color="auto"/>
        <w:bottom w:val="none" w:sz="0" w:space="0" w:color="auto"/>
        <w:right w:val="none" w:sz="0" w:space="0" w:color="auto"/>
      </w:divBdr>
      <w:divsChild>
        <w:div w:id="20758596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acde.edu.au/atten/" TargetMode="External"/><Relationship Id="rId26" Type="http://schemas.openxmlformats.org/officeDocument/2006/relationships/hyperlink" Target="http://www.wiete.com.au/journals/GJEE/Publish/vol11no2/_Inside-full.pdf" TargetMode="External"/><Relationship Id="rId3" Type="http://schemas.openxmlformats.org/officeDocument/2006/relationships/customXml" Target="../customXml/item3.xml"/><Relationship Id="rId21" Type="http://schemas.openxmlformats.org/officeDocument/2006/relationships/hyperlink" Target="https://www.aitsl.edu.au/docs/default-source/national-policy-framework/addendum-to-accreditation-standards-and-procedures.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acde.edu.au/atten/" TargetMode="External"/><Relationship Id="rId25" Type="http://schemas.openxmlformats.org/officeDocument/2006/relationships/hyperlink" Target="http://dx.doi.org/10.1007/978-1-4020-9417-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ustraliancurriculum.edu.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files.eric.ed.gov/fulltext/ED534449.pdf"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doi.org/10.1007/s13384-021-00473-5" TargetMode="External"/><Relationship Id="rId28" Type="http://schemas.openxmlformats.org/officeDocument/2006/relationships/hyperlink" Target="https://www.acs.org.au/content/dam/acs/acs-publications/ACS-Digital-Technologies-Education-Whitepaper_A04_FA_WEB.pdf" TargetMode="External"/><Relationship Id="rId10" Type="http://schemas.openxmlformats.org/officeDocument/2006/relationships/hyperlink" Target="mailto:wendy.fox-turnbull@waikato.ac.nz" TargetMode="External"/><Relationship Id="rId19" Type="http://schemas.openxmlformats.org/officeDocument/2006/relationships/hyperlink" Target="https://www.australiancurriculum.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sycnet.apa.org/doi/10.1016/j.tate.2009.02.012" TargetMode="External"/><Relationship Id="rId27" Type="http://schemas.openxmlformats.org/officeDocument/2006/relationships/hyperlink" Target="https://hdl.handle.net/2134/1350"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4E544B-0525-48F7-997F-5C3764A0A96A}">
  <ds:schemaRefs>
    <ds:schemaRef ds:uri="http://schemas.microsoft.com/sharepoint/v3/contenttype/forms"/>
  </ds:schemaRefs>
</ds:datastoreItem>
</file>

<file path=customXml/itemProps2.xml><?xml version="1.0" encoding="utf-8"?>
<ds:datastoreItem xmlns:ds="http://schemas.openxmlformats.org/officeDocument/2006/customXml" ds:itemID="{F656EBFE-FA2D-4A56-A095-DC6718E2F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22bff-ff30-4272-b1af-03511074d674"/>
    <ds:schemaRef ds:uri="321c3b0d-4d30-486f-b1e8-99a9e110a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01DE17-48C3-4DCA-B87B-CCAAE8043DB3}">
  <ds:schemaRefs>
    <ds:schemaRef ds:uri="http://schemas.microsoft.com/office/2006/metadata/properties"/>
    <ds:schemaRef ds:uri="http://schemas.microsoft.com/office/infopath/2007/PartnerControls"/>
    <ds:schemaRef ds:uri="321c3b0d-4d30-486f-b1e8-99a9e110ace3"/>
    <ds:schemaRef ds:uri="58422bff-ff30-4272-b1af-03511074d674"/>
  </ds:schemaRefs>
</ds:datastoreItem>
</file>

<file path=docMetadata/LabelInfo.xml><?xml version="1.0" encoding="utf-8"?>
<clbl:labelList xmlns:clbl="http://schemas.microsoft.com/office/2020/mipLabelMetadata">
  <clbl:label id="{220f5dc3-9452-48e5-9b4f-888df42f7a2d}" enabled="0" method="" siteId="{220f5dc3-9452-48e5-9b4f-888df42f7a2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6423</Words>
  <Characters>36614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Cameron</dc:creator>
  <cp:lastModifiedBy>Denyse Graham</cp:lastModifiedBy>
  <cp:revision>2</cp:revision>
  <cp:lastPrinted>2026-01-28T01:56:00Z</cp:lastPrinted>
  <dcterms:created xsi:type="dcterms:W3CDTF">2026-07-08T03:20:00Z</dcterms:created>
  <dcterms:modified xsi:type="dcterms:W3CDTF">2026-07-08T03:20:00Z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0x0101003FBCF07486389B4FB2454E0E55A2AE41</vt:lpwstr>
  </property>
</Properties>
</file>